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2E" w:rsidRPr="00875208" w:rsidRDefault="00836838" w:rsidP="00536D2E">
      <w:pPr>
        <w:spacing w:before="100" w:beforeAutospacing="1"/>
        <w:jc w:val="center"/>
        <w:rPr>
          <w:noProof/>
          <w:sz w:val="24"/>
          <w:szCs w:val="24"/>
          <w:lang w:val="fr-FR" w:eastAsia="fr-FR"/>
        </w:rPr>
      </w:pPr>
      <w:bookmarkStart w:id="0" w:name="_GoBack"/>
      <w:bookmarkEnd w:id="0"/>
      <w:r>
        <w:rPr>
          <w:noProof/>
          <w:snapToGrid/>
          <w:sz w:val="24"/>
          <w:szCs w:val="24"/>
          <w:lang w:val="en-US"/>
        </w:rPr>
        <w:drawing>
          <wp:inline distT="0" distB="0" distL="0" distR="0">
            <wp:extent cx="1550670" cy="7632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50670" cy="763270"/>
                    </a:xfrm>
                    <a:prstGeom prst="rect">
                      <a:avLst/>
                    </a:prstGeom>
                    <a:noFill/>
                    <a:ln w="9525">
                      <a:noFill/>
                      <a:miter lim="800000"/>
                      <a:headEnd/>
                      <a:tailEnd/>
                    </a:ln>
                  </pic:spPr>
                </pic:pic>
              </a:graphicData>
            </a:graphic>
          </wp:inline>
        </w:drawing>
      </w:r>
    </w:p>
    <w:p w:rsidR="00B749B7" w:rsidRDefault="0007408E" w:rsidP="00B749B7">
      <w:pPr>
        <w:jc w:val="center"/>
        <w:rPr>
          <w:sz w:val="24"/>
          <w:szCs w:val="24"/>
        </w:rPr>
      </w:pPr>
      <w:r w:rsidRPr="00875208">
        <w:rPr>
          <w:b/>
          <w:sz w:val="24"/>
          <w:szCs w:val="24"/>
        </w:rPr>
        <w:t xml:space="preserve">Contracting </w:t>
      </w:r>
      <w:r w:rsidR="00F118D3" w:rsidRPr="00875208">
        <w:rPr>
          <w:b/>
          <w:sz w:val="24"/>
          <w:szCs w:val="24"/>
        </w:rPr>
        <w:t>Authority</w:t>
      </w:r>
    </w:p>
    <w:p w:rsidR="006B1B7F" w:rsidRDefault="00067FD9" w:rsidP="006B1B7F">
      <w:pPr>
        <w:spacing w:after="0"/>
        <w:jc w:val="center"/>
        <w:rPr>
          <w:snapToGrid/>
          <w:sz w:val="24"/>
          <w:szCs w:val="24"/>
          <w:lang w:val="en-US"/>
        </w:rPr>
      </w:pPr>
      <w:r w:rsidRPr="00875208">
        <w:rPr>
          <w:sz w:val="24"/>
          <w:szCs w:val="24"/>
        </w:rPr>
        <w:t>Government of the Republic of Serbia,</w:t>
      </w:r>
      <w:r w:rsidR="00F240D8">
        <w:rPr>
          <w:sz w:val="24"/>
          <w:szCs w:val="24"/>
        </w:rPr>
        <w:t xml:space="preserve"> </w:t>
      </w:r>
      <w:r w:rsidR="00DC2A38" w:rsidRPr="00875208">
        <w:rPr>
          <w:snapToGrid/>
          <w:sz w:val="24"/>
          <w:szCs w:val="24"/>
          <w:lang w:val="en-US"/>
        </w:rPr>
        <w:t xml:space="preserve">Ministry of Finance, </w:t>
      </w:r>
    </w:p>
    <w:p w:rsidR="00DC2A38" w:rsidRPr="00875208" w:rsidRDefault="00DC2A38" w:rsidP="006B1B7F">
      <w:pPr>
        <w:spacing w:after="0"/>
        <w:jc w:val="center"/>
        <w:rPr>
          <w:snapToGrid/>
          <w:sz w:val="24"/>
          <w:szCs w:val="24"/>
          <w:lang w:val="en-US"/>
        </w:rPr>
      </w:pPr>
      <w:r w:rsidRPr="00875208">
        <w:rPr>
          <w:snapToGrid/>
          <w:sz w:val="24"/>
          <w:szCs w:val="24"/>
          <w:lang w:val="en-US"/>
        </w:rPr>
        <w:t xml:space="preserve">Department for Contracting and Financing of EU Funded </w:t>
      </w:r>
      <w:r w:rsidR="00E163C4" w:rsidRPr="00875208">
        <w:rPr>
          <w:snapToGrid/>
          <w:sz w:val="24"/>
          <w:szCs w:val="24"/>
          <w:lang w:val="en-US"/>
        </w:rPr>
        <w:t>Programmes</w:t>
      </w:r>
      <w:r w:rsidR="006B1B7F">
        <w:rPr>
          <w:snapToGrid/>
          <w:sz w:val="24"/>
          <w:szCs w:val="24"/>
          <w:lang w:val="en-US"/>
        </w:rPr>
        <w:t xml:space="preserve"> (CFCU)</w:t>
      </w:r>
    </w:p>
    <w:p w:rsidR="00067FD9" w:rsidRPr="00875208" w:rsidRDefault="00067FD9" w:rsidP="006B1B7F">
      <w:pPr>
        <w:pStyle w:val="SubTitle2"/>
        <w:spacing w:after="0"/>
        <w:rPr>
          <w:sz w:val="24"/>
          <w:szCs w:val="24"/>
          <w:lang w:val="en-US"/>
        </w:rPr>
      </w:pPr>
    </w:p>
    <w:p w:rsidR="00E80234" w:rsidRDefault="00E80234" w:rsidP="00067FD9">
      <w:pPr>
        <w:pStyle w:val="SubTitle2"/>
        <w:rPr>
          <w:sz w:val="24"/>
          <w:szCs w:val="24"/>
          <w:lang w:val="en-US"/>
        </w:rPr>
      </w:pPr>
    </w:p>
    <w:p w:rsidR="00067FD9" w:rsidRPr="00875208" w:rsidRDefault="00E80234" w:rsidP="00067FD9">
      <w:pPr>
        <w:pStyle w:val="SubTitle2"/>
        <w:rPr>
          <w:sz w:val="24"/>
          <w:szCs w:val="24"/>
          <w:lang w:val="en-US"/>
        </w:rPr>
      </w:pPr>
      <w:r w:rsidRPr="00E80234">
        <w:rPr>
          <w:sz w:val="24"/>
          <w:szCs w:val="24"/>
          <w:lang w:val="en-US"/>
        </w:rPr>
        <w:t>EUROPEAN PROGRESS</w:t>
      </w:r>
      <w:r>
        <w:rPr>
          <w:sz w:val="24"/>
          <w:szCs w:val="24"/>
          <w:lang w:val="en-US"/>
        </w:rPr>
        <w:t xml:space="preserve"> PROGRAMME</w:t>
      </w:r>
    </w:p>
    <w:p w:rsidR="00E80234" w:rsidRDefault="00E80234" w:rsidP="00360EC0">
      <w:pPr>
        <w:pStyle w:val="SubTitle2"/>
        <w:rPr>
          <w:sz w:val="24"/>
          <w:szCs w:val="24"/>
          <w:lang w:val="en-US"/>
        </w:rPr>
      </w:pPr>
    </w:p>
    <w:p w:rsidR="00360EC0" w:rsidRPr="00875208" w:rsidRDefault="00360EC0" w:rsidP="00360EC0">
      <w:pPr>
        <w:pStyle w:val="SubTitle2"/>
        <w:rPr>
          <w:sz w:val="24"/>
          <w:szCs w:val="24"/>
          <w:lang w:val="en-US"/>
        </w:rPr>
      </w:pPr>
      <w:r w:rsidRPr="00875208">
        <w:rPr>
          <w:sz w:val="24"/>
          <w:szCs w:val="24"/>
          <w:lang w:val="en-US"/>
        </w:rPr>
        <w:t xml:space="preserve">European Partnership with Municipalities </w:t>
      </w:r>
    </w:p>
    <w:p w:rsidR="00360EC0" w:rsidRPr="00875208" w:rsidRDefault="00360EC0" w:rsidP="00360EC0">
      <w:pPr>
        <w:pStyle w:val="SubTitle1"/>
        <w:rPr>
          <w:sz w:val="24"/>
          <w:szCs w:val="24"/>
        </w:rPr>
      </w:pPr>
    </w:p>
    <w:p w:rsidR="00360EC0" w:rsidRPr="00875208" w:rsidRDefault="00360EC0" w:rsidP="00360EC0">
      <w:pPr>
        <w:pStyle w:val="SubTitle2"/>
        <w:rPr>
          <w:sz w:val="24"/>
          <w:szCs w:val="24"/>
        </w:rPr>
      </w:pPr>
      <w:r w:rsidRPr="00875208">
        <w:rPr>
          <w:sz w:val="24"/>
          <w:szCs w:val="24"/>
        </w:rPr>
        <w:t>Restricted Call for Proposals</w:t>
      </w:r>
    </w:p>
    <w:p w:rsidR="00491F8A" w:rsidRPr="00875208" w:rsidRDefault="0007408E" w:rsidP="00491F8A">
      <w:pPr>
        <w:pStyle w:val="SubTitle1"/>
        <w:spacing w:before="480"/>
        <w:rPr>
          <w:b w:val="0"/>
          <w:sz w:val="24"/>
          <w:szCs w:val="24"/>
        </w:rPr>
      </w:pPr>
      <w:r w:rsidRPr="00875208">
        <w:rPr>
          <w:b w:val="0"/>
          <w:sz w:val="24"/>
          <w:szCs w:val="24"/>
        </w:rPr>
        <w:t>Guidelines</w:t>
      </w:r>
      <w:r w:rsidRPr="00875208">
        <w:rPr>
          <w:b w:val="0"/>
          <w:sz w:val="24"/>
          <w:szCs w:val="24"/>
        </w:rPr>
        <w:br/>
        <w:t>for grant applicants</w:t>
      </w:r>
    </w:p>
    <w:p w:rsidR="0007408E" w:rsidRPr="00875208" w:rsidRDefault="001B7AE1" w:rsidP="00491F8A">
      <w:pPr>
        <w:pStyle w:val="SubTitle1"/>
        <w:spacing w:before="480"/>
        <w:rPr>
          <w:b w:val="0"/>
          <w:sz w:val="24"/>
          <w:szCs w:val="24"/>
          <w:highlight w:val="yellow"/>
        </w:rPr>
      </w:pPr>
      <w:r w:rsidRPr="00875208">
        <w:rPr>
          <w:sz w:val="24"/>
          <w:szCs w:val="24"/>
        </w:rPr>
        <w:t>22.02.01</w:t>
      </w:r>
      <w:r w:rsidR="0099287E">
        <w:rPr>
          <w:sz w:val="24"/>
          <w:szCs w:val="24"/>
        </w:rPr>
        <w:t xml:space="preserve"> </w:t>
      </w:r>
      <w:r w:rsidRPr="00875208">
        <w:rPr>
          <w:sz w:val="24"/>
          <w:szCs w:val="24"/>
        </w:rPr>
        <w:t>Financing Agreement</w:t>
      </w:r>
    </w:p>
    <w:p w:rsidR="006225E8" w:rsidRPr="004C6EBC" w:rsidRDefault="006225E8" w:rsidP="006225E8">
      <w:pPr>
        <w:pStyle w:val="SubTitle2"/>
        <w:rPr>
          <w:sz w:val="24"/>
          <w:szCs w:val="24"/>
        </w:rPr>
      </w:pPr>
      <w:r w:rsidRPr="004C6EBC">
        <w:rPr>
          <w:b w:val="0"/>
          <w:sz w:val="24"/>
          <w:szCs w:val="24"/>
        </w:rPr>
        <w:t xml:space="preserve">Reference: </w:t>
      </w:r>
      <w:r w:rsidR="00D4163F" w:rsidRPr="004C6EBC">
        <w:rPr>
          <w:b w:val="0"/>
          <w:sz w:val="24"/>
          <w:szCs w:val="24"/>
        </w:rPr>
        <w:t>Europe</w:t>
      </w:r>
      <w:r w:rsidR="00BB2FAB" w:rsidRPr="004C6EBC">
        <w:rPr>
          <w:b w:val="0"/>
          <w:sz w:val="24"/>
          <w:szCs w:val="24"/>
        </w:rPr>
        <w:t>Aid/136873/IH/ACT/RS</w:t>
      </w:r>
    </w:p>
    <w:p w:rsidR="00491F8A" w:rsidRPr="00875208" w:rsidRDefault="007377DD" w:rsidP="00491F8A">
      <w:pPr>
        <w:pStyle w:val="SubTitle2"/>
        <w:rPr>
          <w:sz w:val="24"/>
          <w:szCs w:val="24"/>
        </w:rPr>
      </w:pPr>
      <w:r w:rsidRPr="004C6EBC">
        <w:rPr>
          <w:b w:val="0"/>
          <w:sz w:val="24"/>
          <w:szCs w:val="24"/>
        </w:rPr>
        <w:t xml:space="preserve">Deadline for </w:t>
      </w:r>
      <w:r w:rsidR="006A7719" w:rsidRPr="004C6EBC">
        <w:rPr>
          <w:b w:val="0"/>
          <w:sz w:val="24"/>
          <w:szCs w:val="24"/>
        </w:rPr>
        <w:t xml:space="preserve">submission </w:t>
      </w:r>
      <w:r w:rsidR="00587488">
        <w:rPr>
          <w:b w:val="0"/>
          <w:sz w:val="24"/>
          <w:szCs w:val="24"/>
        </w:rPr>
        <w:t>of Concept note is 28</w:t>
      </w:r>
      <w:r w:rsidR="004E245A" w:rsidRPr="004C6EBC">
        <w:rPr>
          <w:b w:val="0"/>
          <w:sz w:val="24"/>
          <w:szCs w:val="24"/>
        </w:rPr>
        <w:t xml:space="preserve"> April 2015</w:t>
      </w:r>
      <w:r w:rsidR="007C4720" w:rsidRPr="004C6EBC">
        <w:rPr>
          <w:b w:val="0"/>
          <w:sz w:val="24"/>
          <w:szCs w:val="24"/>
        </w:rPr>
        <w:t xml:space="preserve"> </w:t>
      </w:r>
    </w:p>
    <w:p w:rsidR="00F00013" w:rsidRDefault="00F00013" w:rsidP="00F00789">
      <w:pPr>
        <w:pStyle w:val="SubTitle1"/>
        <w:rPr>
          <w:sz w:val="24"/>
          <w:szCs w:val="24"/>
        </w:rPr>
        <w:sectPr w:rsidR="00F00013" w:rsidSect="00ED2366">
          <w:footerReference w:type="default" r:id="rId9"/>
          <w:footerReference w:type="first" r:id="rId10"/>
          <w:pgSz w:w="11906" w:h="16838" w:code="9"/>
          <w:pgMar w:top="1021" w:right="1134" w:bottom="1021" w:left="1134" w:header="567" w:footer="545" w:gutter="0"/>
          <w:pgNumType w:start="1"/>
          <w:cols w:space="720"/>
          <w:titlePg/>
        </w:sectPr>
      </w:pPr>
    </w:p>
    <w:p w:rsidR="0007408E" w:rsidRPr="00875208" w:rsidRDefault="007857D2" w:rsidP="00F00789">
      <w:pPr>
        <w:pStyle w:val="SubTitle1"/>
        <w:rPr>
          <w:sz w:val="24"/>
          <w:szCs w:val="24"/>
        </w:rPr>
      </w:pPr>
      <w:r w:rsidRPr="00875208">
        <w:rPr>
          <w:sz w:val="24"/>
          <w:szCs w:val="24"/>
        </w:rPr>
        <w:lastRenderedPageBreak/>
        <w:t>NOTICE</w:t>
      </w:r>
    </w:p>
    <w:p w:rsidR="007857D2" w:rsidRPr="00875208" w:rsidRDefault="007857D2" w:rsidP="007857D2">
      <w:pPr>
        <w:pStyle w:val="SubTitle2"/>
        <w:rPr>
          <w:sz w:val="24"/>
          <w:szCs w:val="24"/>
        </w:rPr>
      </w:pPr>
    </w:p>
    <w:p w:rsidR="0052492E" w:rsidRPr="00146972" w:rsidRDefault="0052492E" w:rsidP="00146972">
      <w:pPr>
        <w:rPr>
          <w:sz w:val="24"/>
          <w:szCs w:val="24"/>
        </w:rPr>
      </w:pPr>
      <w:r w:rsidRPr="00146972">
        <w:rPr>
          <w:sz w:val="24"/>
          <w:szCs w:val="24"/>
        </w:rPr>
        <w:t xml:space="preserve">This is a restricted Call for Proposals. In the first instance, only Concept Notes must be submitted for evaluation. Thereafter, applicants who have been pre-selected will be invited to submit a Full Application Form. </w:t>
      </w:r>
      <w:r w:rsidR="00D830C7" w:rsidRPr="00146972">
        <w:rPr>
          <w:sz w:val="24"/>
          <w:szCs w:val="24"/>
        </w:rPr>
        <w:t>After</w:t>
      </w:r>
      <w:r w:rsidRPr="00146972">
        <w:rPr>
          <w:sz w:val="24"/>
          <w:szCs w:val="24"/>
        </w:rPr>
        <w:t xml:space="preserve"> the evaluation of the Full Applications, an eligibility check will be performed for those which </w:t>
      </w:r>
      <w:r w:rsidR="00D830C7" w:rsidRPr="00146972">
        <w:rPr>
          <w:sz w:val="24"/>
          <w:szCs w:val="24"/>
        </w:rPr>
        <w:t xml:space="preserve">have been </w:t>
      </w:r>
      <w:r w:rsidRPr="00146972">
        <w:rPr>
          <w:sz w:val="24"/>
          <w:szCs w:val="24"/>
        </w:rPr>
        <w:t xml:space="preserve">provisionally selected. </w:t>
      </w:r>
      <w:r w:rsidR="001D2826" w:rsidRPr="00146972">
        <w:rPr>
          <w:sz w:val="24"/>
          <w:szCs w:val="24"/>
        </w:rPr>
        <w:t>Eligibility</w:t>
      </w:r>
      <w:r w:rsidRPr="00146972">
        <w:rPr>
          <w:sz w:val="24"/>
          <w:szCs w:val="24"/>
        </w:rPr>
        <w:t xml:space="preserve"> will be </w:t>
      </w:r>
      <w:r w:rsidR="001D2826" w:rsidRPr="00146972">
        <w:rPr>
          <w:sz w:val="24"/>
          <w:szCs w:val="24"/>
        </w:rPr>
        <w:t xml:space="preserve">checked </w:t>
      </w:r>
      <w:r w:rsidRPr="00146972">
        <w:rPr>
          <w:sz w:val="24"/>
          <w:szCs w:val="24"/>
        </w:rPr>
        <w:t>on the basis of the supporting documents requested by the Contracting Authority</w:t>
      </w:r>
      <w:r w:rsidR="009D29CA" w:rsidRPr="00146972">
        <w:rPr>
          <w:sz w:val="24"/>
          <w:szCs w:val="24"/>
        </w:rPr>
        <w:t xml:space="preserve"> and</w:t>
      </w:r>
      <w:r w:rsidRPr="00146972">
        <w:rPr>
          <w:sz w:val="24"/>
          <w:szCs w:val="24"/>
        </w:rPr>
        <w:t xml:space="preserve"> the signed </w:t>
      </w:r>
      <w:r w:rsidR="00A016F9" w:rsidRPr="00146972">
        <w:rPr>
          <w:sz w:val="24"/>
          <w:szCs w:val="24"/>
        </w:rPr>
        <w:t>‘</w:t>
      </w:r>
      <w:r w:rsidRPr="00146972">
        <w:rPr>
          <w:sz w:val="24"/>
          <w:szCs w:val="24"/>
        </w:rPr>
        <w:t>Declaration by the Applicant</w:t>
      </w:r>
      <w:r w:rsidR="00A016F9" w:rsidRPr="00146972">
        <w:rPr>
          <w:sz w:val="24"/>
          <w:szCs w:val="24"/>
        </w:rPr>
        <w:t>’</w:t>
      </w:r>
      <w:r w:rsidRPr="00146972">
        <w:rPr>
          <w:sz w:val="24"/>
          <w:szCs w:val="24"/>
        </w:rPr>
        <w:t xml:space="preserve"> sent together with the application.</w:t>
      </w:r>
    </w:p>
    <w:p w:rsidR="0007408E" w:rsidRPr="00FA0D7C" w:rsidRDefault="00F00013" w:rsidP="00B57C75">
      <w:pPr>
        <w:spacing w:after="0"/>
        <w:jc w:val="center"/>
        <w:rPr>
          <w:b/>
          <w:sz w:val="24"/>
          <w:szCs w:val="24"/>
        </w:rPr>
      </w:pPr>
      <w:r>
        <w:rPr>
          <w:sz w:val="24"/>
          <w:szCs w:val="24"/>
        </w:rPr>
        <w:br w:type="page"/>
      </w:r>
      <w:r w:rsidR="00FA0D7C">
        <w:rPr>
          <w:b/>
          <w:sz w:val="24"/>
          <w:szCs w:val="24"/>
        </w:rPr>
        <w:lastRenderedPageBreak/>
        <w:t>TABLE OF CONTENT</w:t>
      </w:r>
      <w:r w:rsidR="004C6862">
        <w:rPr>
          <w:b/>
          <w:sz w:val="24"/>
          <w:szCs w:val="24"/>
        </w:rPr>
        <w:t>S</w:t>
      </w:r>
    </w:p>
    <w:p w:rsidR="003F6031" w:rsidRPr="00875208" w:rsidRDefault="003F6031" w:rsidP="00C27CF9">
      <w:pPr>
        <w:spacing w:after="0"/>
        <w:jc w:val="left"/>
        <w:rPr>
          <w:sz w:val="24"/>
          <w:szCs w:val="24"/>
        </w:rPr>
      </w:pPr>
    </w:p>
    <w:p w:rsidR="007A5BD2" w:rsidRPr="00875208" w:rsidRDefault="007E64D1" w:rsidP="007A5BD2">
      <w:pPr>
        <w:pStyle w:val="TOC1"/>
        <w:rPr>
          <w:rFonts w:ascii="Times New Roman" w:hAnsi="Times New Roman"/>
          <w:b w:val="0"/>
          <w:caps w:val="0"/>
          <w:noProof/>
          <w:snapToGrid/>
          <w:sz w:val="24"/>
          <w:szCs w:val="24"/>
          <w:lang w:eastAsia="sl-SI"/>
        </w:rPr>
      </w:pPr>
      <w:r w:rsidRPr="00875208">
        <w:rPr>
          <w:rFonts w:ascii="Times New Roman" w:hAnsi="Times New Roman"/>
          <w:sz w:val="24"/>
          <w:szCs w:val="24"/>
        </w:rPr>
        <w:fldChar w:fldCharType="begin"/>
      </w:r>
      <w:r w:rsidR="007A5BD2" w:rsidRPr="00875208">
        <w:rPr>
          <w:rFonts w:ascii="Times New Roman" w:hAnsi="Times New Roman"/>
          <w:sz w:val="24"/>
          <w:szCs w:val="24"/>
        </w:rPr>
        <w:instrText xml:space="preserve"> TOC \t "Guidelines 1;1;Guidelines 2;2;Guidelines 3;3" </w:instrText>
      </w:r>
      <w:r w:rsidRPr="00875208">
        <w:rPr>
          <w:rFonts w:ascii="Times New Roman" w:hAnsi="Times New Roman"/>
          <w:sz w:val="24"/>
          <w:szCs w:val="24"/>
        </w:rPr>
        <w:fldChar w:fldCharType="separate"/>
      </w:r>
      <w:r w:rsidR="007A5BD2" w:rsidRPr="00875208">
        <w:rPr>
          <w:rFonts w:ascii="Times New Roman" w:hAnsi="Times New Roman"/>
          <w:noProof/>
          <w:sz w:val="24"/>
          <w:szCs w:val="24"/>
        </w:rPr>
        <w:t>1</w:t>
      </w:r>
      <w:r w:rsidR="00502CC1" w:rsidRPr="00875208">
        <w:rPr>
          <w:rFonts w:ascii="Times New Roman" w:hAnsi="Times New Roman"/>
          <w:b w:val="0"/>
          <w:caps w:val="0"/>
          <w:noProof/>
          <w:snapToGrid/>
          <w:sz w:val="24"/>
          <w:szCs w:val="24"/>
          <w:lang w:eastAsia="sl-SI"/>
        </w:rPr>
        <w:t>.</w:t>
      </w:r>
      <w:r w:rsidR="007A5BD2" w:rsidRPr="00875208">
        <w:rPr>
          <w:rFonts w:ascii="Times New Roman" w:hAnsi="Times New Roman"/>
          <w:noProof/>
          <w:sz w:val="24"/>
          <w:szCs w:val="24"/>
        </w:rPr>
        <w:t>The EUROPEAN PARTNERSHIP WITH MUNICIPALITIES(</w:t>
      </w:r>
      <w:r w:rsidR="00AE7CE9" w:rsidRPr="00875208">
        <w:rPr>
          <w:rFonts w:ascii="Times New Roman" w:hAnsi="Times New Roman"/>
          <w:noProof/>
          <w:sz w:val="24"/>
          <w:szCs w:val="24"/>
        </w:rPr>
        <w:t>EUROPEAN</w:t>
      </w:r>
      <w:r w:rsidR="007A5BD2" w:rsidRPr="00875208">
        <w:rPr>
          <w:rFonts w:ascii="Times New Roman" w:hAnsi="Times New Roman"/>
          <w:noProof/>
          <w:sz w:val="24"/>
          <w:szCs w:val="24"/>
        </w:rPr>
        <w:t xml:space="preserve"> PROGRES</w:t>
      </w:r>
      <w:r w:rsidR="00367AA3">
        <w:rPr>
          <w:rFonts w:ascii="Times New Roman" w:hAnsi="Times New Roman"/>
          <w:noProof/>
          <w:sz w:val="24"/>
          <w:szCs w:val="24"/>
        </w:rPr>
        <w:t>s</w:t>
      </w:r>
      <w:r w:rsidR="007A5BD2" w:rsidRPr="00875208">
        <w:rPr>
          <w:rFonts w:ascii="Times New Roman" w:hAnsi="Times New Roman"/>
          <w:noProof/>
          <w:sz w:val="24"/>
          <w:szCs w:val="24"/>
        </w:rPr>
        <w:t>)</w:t>
      </w:r>
      <w:r w:rsidR="007A5BD2" w:rsidRPr="00875208">
        <w:rPr>
          <w:rFonts w:ascii="Times New Roman" w:hAnsi="Times New Roman"/>
          <w:noProof/>
          <w:sz w:val="24"/>
          <w:szCs w:val="24"/>
        </w:rPr>
        <w:tab/>
      </w:r>
    </w:p>
    <w:p w:rsidR="007A5BD2" w:rsidRPr="00875208" w:rsidRDefault="007A5BD2" w:rsidP="007A5BD2">
      <w:pPr>
        <w:pStyle w:val="TOC2"/>
        <w:rPr>
          <w:noProof/>
          <w:snapToGrid/>
          <w:sz w:val="24"/>
          <w:szCs w:val="24"/>
          <w:lang w:eastAsia="sl-SI"/>
        </w:rPr>
      </w:pPr>
      <w:r w:rsidRPr="00875208">
        <w:rPr>
          <w:b/>
          <w:noProof/>
          <w:sz w:val="24"/>
          <w:szCs w:val="24"/>
        </w:rPr>
        <w:t>1.1</w:t>
      </w:r>
      <w:r w:rsidRPr="00875208">
        <w:rPr>
          <w:noProof/>
          <w:snapToGrid/>
          <w:sz w:val="24"/>
          <w:szCs w:val="24"/>
          <w:lang w:eastAsia="sl-SI"/>
        </w:rPr>
        <w:tab/>
      </w:r>
      <w:r w:rsidRPr="00875208">
        <w:rPr>
          <w:noProof/>
          <w:sz w:val="24"/>
          <w:szCs w:val="24"/>
        </w:rPr>
        <w:t>Background</w:t>
      </w:r>
      <w:r w:rsidRPr="00875208">
        <w:rPr>
          <w:noProof/>
          <w:sz w:val="24"/>
          <w:szCs w:val="24"/>
        </w:rPr>
        <w:tab/>
      </w:r>
      <w:r w:rsidR="00CF7D0A" w:rsidRPr="00875208">
        <w:rPr>
          <w:noProof/>
          <w:sz w:val="24"/>
          <w:szCs w:val="24"/>
        </w:rPr>
        <w:t>4</w:t>
      </w:r>
    </w:p>
    <w:p w:rsidR="007A5BD2" w:rsidRPr="00875208" w:rsidRDefault="007A5BD2" w:rsidP="007A5BD2">
      <w:pPr>
        <w:pStyle w:val="TOC2"/>
        <w:rPr>
          <w:noProof/>
          <w:snapToGrid/>
          <w:sz w:val="24"/>
          <w:szCs w:val="24"/>
          <w:lang w:eastAsia="sl-SI"/>
        </w:rPr>
      </w:pPr>
      <w:r w:rsidRPr="00875208">
        <w:rPr>
          <w:b/>
          <w:noProof/>
          <w:sz w:val="24"/>
          <w:szCs w:val="24"/>
        </w:rPr>
        <w:t>1.2</w:t>
      </w:r>
      <w:r w:rsidRPr="00875208">
        <w:rPr>
          <w:noProof/>
          <w:snapToGrid/>
          <w:sz w:val="24"/>
          <w:szCs w:val="24"/>
          <w:lang w:eastAsia="sl-SI"/>
        </w:rPr>
        <w:tab/>
      </w:r>
      <w:r w:rsidRPr="00875208">
        <w:rPr>
          <w:noProof/>
          <w:sz w:val="24"/>
          <w:szCs w:val="24"/>
        </w:rPr>
        <w:t>Objectives of the programme and priority issues</w:t>
      </w:r>
      <w:r w:rsidRPr="00875208">
        <w:rPr>
          <w:noProof/>
          <w:sz w:val="24"/>
          <w:szCs w:val="24"/>
        </w:rPr>
        <w:tab/>
      </w:r>
      <w:r w:rsidR="00AC070B" w:rsidRPr="00875208">
        <w:rPr>
          <w:noProof/>
          <w:sz w:val="24"/>
          <w:szCs w:val="24"/>
        </w:rPr>
        <w:t>8</w:t>
      </w:r>
    </w:p>
    <w:p w:rsidR="007A5BD2" w:rsidRDefault="007A5BD2" w:rsidP="007A5BD2">
      <w:pPr>
        <w:pStyle w:val="TOC2"/>
        <w:rPr>
          <w:noProof/>
          <w:sz w:val="24"/>
          <w:szCs w:val="24"/>
        </w:rPr>
      </w:pPr>
      <w:r w:rsidRPr="00875208">
        <w:rPr>
          <w:b/>
          <w:noProof/>
          <w:sz w:val="24"/>
          <w:szCs w:val="24"/>
        </w:rPr>
        <w:t>1.3</w:t>
      </w:r>
      <w:r w:rsidRPr="00875208">
        <w:rPr>
          <w:noProof/>
          <w:snapToGrid/>
          <w:sz w:val="24"/>
          <w:szCs w:val="24"/>
          <w:lang w:eastAsia="sl-SI"/>
        </w:rPr>
        <w:tab/>
      </w:r>
      <w:r w:rsidRPr="00875208">
        <w:rPr>
          <w:noProof/>
          <w:sz w:val="24"/>
          <w:szCs w:val="24"/>
        </w:rPr>
        <w:t>Financial allocation provided by the contracting authority</w:t>
      </w:r>
      <w:r w:rsidRPr="00875208">
        <w:rPr>
          <w:noProof/>
          <w:sz w:val="24"/>
          <w:szCs w:val="24"/>
        </w:rPr>
        <w:tab/>
      </w:r>
      <w:r w:rsidR="00850C7A">
        <w:rPr>
          <w:noProof/>
          <w:sz w:val="24"/>
          <w:szCs w:val="24"/>
        </w:rPr>
        <w:t>8</w:t>
      </w:r>
    </w:p>
    <w:p w:rsidR="00ED389E" w:rsidRPr="00ED389E" w:rsidRDefault="00ED389E" w:rsidP="00ED389E"/>
    <w:p w:rsidR="007A5BD2" w:rsidRPr="00875208" w:rsidRDefault="007A5BD2" w:rsidP="007A5BD2">
      <w:pPr>
        <w:pStyle w:val="TOC1"/>
        <w:rPr>
          <w:rFonts w:ascii="Times New Roman" w:hAnsi="Times New Roman"/>
          <w:b w:val="0"/>
          <w:caps w:val="0"/>
          <w:noProof/>
          <w:snapToGrid/>
          <w:sz w:val="24"/>
          <w:szCs w:val="24"/>
          <w:lang w:eastAsia="sl-SI"/>
        </w:rPr>
      </w:pPr>
      <w:r w:rsidRPr="00875208">
        <w:rPr>
          <w:rFonts w:ascii="Times New Roman" w:hAnsi="Times New Roman"/>
          <w:noProof/>
          <w:sz w:val="24"/>
          <w:szCs w:val="24"/>
        </w:rPr>
        <w:t>2.</w:t>
      </w:r>
      <w:r w:rsidRPr="00875208">
        <w:rPr>
          <w:rFonts w:ascii="Times New Roman" w:hAnsi="Times New Roman"/>
          <w:b w:val="0"/>
          <w:caps w:val="0"/>
          <w:noProof/>
          <w:snapToGrid/>
          <w:sz w:val="24"/>
          <w:szCs w:val="24"/>
          <w:lang w:eastAsia="sl-SI"/>
        </w:rPr>
        <w:tab/>
      </w:r>
      <w:r w:rsidRPr="00875208">
        <w:rPr>
          <w:rFonts w:ascii="Times New Roman" w:hAnsi="Times New Roman"/>
          <w:noProof/>
          <w:sz w:val="24"/>
          <w:szCs w:val="24"/>
        </w:rPr>
        <w:t>RULES FOR THIS CALL FOR PROPOSALS</w:t>
      </w:r>
      <w:r w:rsidRPr="00875208">
        <w:rPr>
          <w:rFonts w:ascii="Times New Roman" w:hAnsi="Times New Roman"/>
          <w:noProof/>
          <w:sz w:val="24"/>
          <w:szCs w:val="24"/>
        </w:rPr>
        <w:tab/>
      </w:r>
      <w:r w:rsidR="00AC070B" w:rsidRPr="00720ACD">
        <w:rPr>
          <w:rFonts w:ascii="Times New Roman" w:hAnsi="Times New Roman"/>
          <w:b w:val="0"/>
          <w:noProof/>
          <w:sz w:val="24"/>
          <w:szCs w:val="24"/>
        </w:rPr>
        <w:t>9</w:t>
      </w:r>
    </w:p>
    <w:p w:rsidR="007A5BD2" w:rsidRPr="0043073E" w:rsidRDefault="007A5BD2" w:rsidP="007A5BD2">
      <w:pPr>
        <w:pStyle w:val="TOC2"/>
        <w:rPr>
          <w:noProof/>
          <w:snapToGrid/>
          <w:sz w:val="24"/>
          <w:szCs w:val="24"/>
          <w:lang w:eastAsia="sl-SI"/>
        </w:rPr>
      </w:pPr>
      <w:r w:rsidRPr="00D40076">
        <w:rPr>
          <w:b/>
          <w:noProof/>
          <w:sz w:val="24"/>
          <w:szCs w:val="24"/>
        </w:rPr>
        <w:t>2.1</w:t>
      </w:r>
      <w:r w:rsidRPr="00875208">
        <w:rPr>
          <w:noProof/>
          <w:snapToGrid/>
          <w:sz w:val="24"/>
          <w:szCs w:val="24"/>
          <w:lang w:eastAsia="sl-SI"/>
        </w:rPr>
        <w:tab/>
      </w:r>
      <w:r w:rsidRPr="00875208">
        <w:rPr>
          <w:noProof/>
          <w:sz w:val="24"/>
          <w:szCs w:val="24"/>
        </w:rPr>
        <w:t>Eligibility criteria</w:t>
      </w:r>
      <w:r w:rsidRPr="00875208">
        <w:rPr>
          <w:noProof/>
          <w:sz w:val="24"/>
          <w:szCs w:val="24"/>
        </w:rPr>
        <w:tab/>
      </w:r>
      <w:r w:rsidR="0043073E">
        <w:rPr>
          <w:noProof/>
          <w:sz w:val="24"/>
          <w:szCs w:val="24"/>
        </w:rPr>
        <w:t>9</w:t>
      </w:r>
    </w:p>
    <w:p w:rsidR="007A5BD2" w:rsidRPr="00875208" w:rsidRDefault="007A5BD2" w:rsidP="007A5BD2">
      <w:pPr>
        <w:pStyle w:val="TOC3"/>
        <w:rPr>
          <w:snapToGrid/>
          <w:sz w:val="24"/>
          <w:szCs w:val="24"/>
          <w:lang w:eastAsia="sl-SI"/>
        </w:rPr>
      </w:pPr>
      <w:r w:rsidRPr="00875208">
        <w:rPr>
          <w:b/>
          <w:sz w:val="24"/>
          <w:szCs w:val="24"/>
        </w:rPr>
        <w:t>2.1.1</w:t>
      </w:r>
      <w:r w:rsidRPr="00875208">
        <w:rPr>
          <w:snapToGrid/>
          <w:sz w:val="24"/>
          <w:szCs w:val="24"/>
          <w:lang w:eastAsia="sl-SI"/>
        </w:rPr>
        <w:tab/>
      </w:r>
      <w:r w:rsidRPr="00875208">
        <w:rPr>
          <w:sz w:val="24"/>
          <w:szCs w:val="24"/>
        </w:rPr>
        <w:t>Eligibility of applicants (i.e. applicant and co-applicant(s))</w:t>
      </w:r>
      <w:r w:rsidRPr="00875208">
        <w:rPr>
          <w:sz w:val="24"/>
          <w:szCs w:val="24"/>
        </w:rPr>
        <w:tab/>
      </w:r>
      <w:r w:rsidR="00720ACD">
        <w:rPr>
          <w:sz w:val="24"/>
          <w:szCs w:val="24"/>
        </w:rPr>
        <w:t>10</w:t>
      </w:r>
    </w:p>
    <w:p w:rsidR="007A5BD2" w:rsidRPr="0043073E" w:rsidRDefault="007A5BD2" w:rsidP="007A5BD2">
      <w:pPr>
        <w:pStyle w:val="TOC3"/>
        <w:rPr>
          <w:snapToGrid/>
          <w:sz w:val="24"/>
          <w:szCs w:val="24"/>
          <w:lang w:eastAsia="sl-SI"/>
        </w:rPr>
      </w:pPr>
      <w:r w:rsidRPr="00875208">
        <w:rPr>
          <w:b/>
          <w:sz w:val="24"/>
          <w:szCs w:val="24"/>
        </w:rPr>
        <w:t xml:space="preserve">2.1.2 </w:t>
      </w:r>
      <w:r w:rsidRPr="00875208">
        <w:rPr>
          <w:snapToGrid/>
          <w:sz w:val="24"/>
          <w:szCs w:val="24"/>
          <w:lang w:eastAsia="sl-SI"/>
        </w:rPr>
        <w:tab/>
      </w:r>
      <w:r w:rsidRPr="00875208">
        <w:rPr>
          <w:sz w:val="24"/>
          <w:szCs w:val="24"/>
        </w:rPr>
        <w:t>Affiliated entities</w:t>
      </w:r>
      <w:r w:rsidRPr="00875208">
        <w:rPr>
          <w:sz w:val="24"/>
          <w:szCs w:val="24"/>
        </w:rPr>
        <w:tab/>
      </w:r>
      <w:r w:rsidR="0043073E">
        <w:rPr>
          <w:sz w:val="24"/>
          <w:szCs w:val="24"/>
        </w:rPr>
        <w:t>11</w:t>
      </w:r>
    </w:p>
    <w:p w:rsidR="007A5BD2" w:rsidRPr="0043073E" w:rsidRDefault="007A5BD2" w:rsidP="007A5BD2">
      <w:pPr>
        <w:pStyle w:val="TOC3"/>
        <w:rPr>
          <w:snapToGrid/>
          <w:sz w:val="24"/>
          <w:szCs w:val="24"/>
          <w:lang w:eastAsia="sl-SI"/>
        </w:rPr>
      </w:pPr>
      <w:r w:rsidRPr="00875208">
        <w:rPr>
          <w:b/>
          <w:sz w:val="24"/>
          <w:szCs w:val="24"/>
        </w:rPr>
        <w:t>2.1.3</w:t>
      </w:r>
      <w:r w:rsidRPr="00875208">
        <w:rPr>
          <w:snapToGrid/>
          <w:sz w:val="24"/>
          <w:szCs w:val="24"/>
          <w:lang w:eastAsia="sl-SI"/>
        </w:rPr>
        <w:tab/>
      </w:r>
      <w:r w:rsidRPr="00875208">
        <w:rPr>
          <w:sz w:val="24"/>
          <w:szCs w:val="24"/>
        </w:rPr>
        <w:t>Associates and Contractors</w:t>
      </w:r>
      <w:r w:rsidRPr="00875208">
        <w:rPr>
          <w:sz w:val="24"/>
          <w:szCs w:val="24"/>
        </w:rPr>
        <w:tab/>
      </w:r>
      <w:r w:rsidR="0043073E">
        <w:rPr>
          <w:sz w:val="24"/>
          <w:szCs w:val="24"/>
        </w:rPr>
        <w:t>12</w:t>
      </w:r>
    </w:p>
    <w:p w:rsidR="007A5BD2" w:rsidRPr="00875208" w:rsidRDefault="007A5BD2" w:rsidP="007A5BD2">
      <w:pPr>
        <w:pStyle w:val="TOC3"/>
        <w:rPr>
          <w:sz w:val="24"/>
          <w:szCs w:val="24"/>
        </w:rPr>
      </w:pPr>
      <w:r w:rsidRPr="00875208">
        <w:rPr>
          <w:b/>
          <w:sz w:val="24"/>
          <w:szCs w:val="24"/>
        </w:rPr>
        <w:t>2.1.4</w:t>
      </w:r>
      <w:r w:rsidRPr="00875208">
        <w:rPr>
          <w:snapToGrid/>
          <w:sz w:val="24"/>
          <w:szCs w:val="24"/>
          <w:lang w:eastAsia="sl-SI"/>
        </w:rPr>
        <w:tab/>
      </w:r>
      <w:r w:rsidRPr="00875208">
        <w:rPr>
          <w:sz w:val="24"/>
          <w:szCs w:val="24"/>
        </w:rPr>
        <w:t>Eligible actions: actions for which an application may be made</w:t>
      </w:r>
      <w:r w:rsidRPr="00875208">
        <w:rPr>
          <w:sz w:val="24"/>
          <w:szCs w:val="24"/>
        </w:rPr>
        <w:tab/>
      </w:r>
      <w:r w:rsidR="001E73E7" w:rsidRPr="00875208">
        <w:rPr>
          <w:sz w:val="24"/>
          <w:szCs w:val="24"/>
        </w:rPr>
        <w:t>13</w:t>
      </w:r>
    </w:p>
    <w:p w:rsidR="007A5BD2" w:rsidRPr="00875208" w:rsidRDefault="007A5BD2" w:rsidP="007A5BD2">
      <w:pPr>
        <w:pStyle w:val="TOC3"/>
        <w:rPr>
          <w:sz w:val="24"/>
          <w:szCs w:val="24"/>
        </w:rPr>
      </w:pPr>
      <w:r w:rsidRPr="00875208">
        <w:rPr>
          <w:b/>
          <w:sz w:val="24"/>
          <w:szCs w:val="24"/>
        </w:rPr>
        <w:t>2.1.5</w:t>
      </w:r>
      <w:r w:rsidRPr="00875208">
        <w:rPr>
          <w:snapToGrid/>
          <w:sz w:val="24"/>
          <w:szCs w:val="24"/>
          <w:lang w:eastAsia="sl-SI"/>
        </w:rPr>
        <w:tab/>
      </w:r>
      <w:r w:rsidRPr="00875208">
        <w:rPr>
          <w:sz w:val="24"/>
          <w:szCs w:val="24"/>
        </w:rPr>
        <w:t>Eligibility of costs: costs that can be included</w:t>
      </w:r>
      <w:r w:rsidRPr="00875208">
        <w:rPr>
          <w:sz w:val="24"/>
          <w:szCs w:val="24"/>
        </w:rPr>
        <w:tab/>
      </w:r>
      <w:r w:rsidR="00D63667" w:rsidRPr="00875208">
        <w:rPr>
          <w:sz w:val="24"/>
          <w:szCs w:val="24"/>
        </w:rPr>
        <w:t>1</w:t>
      </w:r>
      <w:r w:rsidR="00D63667">
        <w:rPr>
          <w:sz w:val="24"/>
          <w:szCs w:val="24"/>
        </w:rPr>
        <w:t>6</w:t>
      </w:r>
    </w:p>
    <w:p w:rsidR="007A5BD2" w:rsidRPr="00875208" w:rsidRDefault="007A5BD2" w:rsidP="007A5BD2">
      <w:pPr>
        <w:pStyle w:val="TOC2"/>
        <w:rPr>
          <w:noProof/>
          <w:snapToGrid/>
          <w:sz w:val="24"/>
          <w:szCs w:val="24"/>
          <w:lang w:eastAsia="sl-SI"/>
        </w:rPr>
      </w:pPr>
      <w:r w:rsidRPr="00D40076">
        <w:rPr>
          <w:b/>
          <w:noProof/>
          <w:sz w:val="24"/>
          <w:szCs w:val="24"/>
        </w:rPr>
        <w:t>2.2</w:t>
      </w:r>
      <w:r w:rsidRPr="00875208">
        <w:rPr>
          <w:noProof/>
          <w:snapToGrid/>
          <w:sz w:val="24"/>
          <w:szCs w:val="24"/>
          <w:lang w:eastAsia="sl-SI"/>
        </w:rPr>
        <w:tab/>
      </w:r>
      <w:r w:rsidRPr="00875208">
        <w:rPr>
          <w:noProof/>
          <w:sz w:val="24"/>
          <w:szCs w:val="24"/>
        </w:rPr>
        <w:t>How to apply and the procedures to follow</w:t>
      </w:r>
      <w:r w:rsidRPr="00875208">
        <w:rPr>
          <w:noProof/>
          <w:sz w:val="24"/>
          <w:szCs w:val="24"/>
        </w:rPr>
        <w:tab/>
      </w:r>
      <w:r w:rsidR="001E73E7" w:rsidRPr="00875208">
        <w:rPr>
          <w:noProof/>
          <w:sz w:val="24"/>
          <w:szCs w:val="24"/>
        </w:rPr>
        <w:t>19</w:t>
      </w:r>
    </w:p>
    <w:p w:rsidR="007A5BD2" w:rsidRPr="00875208" w:rsidRDefault="007A5BD2" w:rsidP="007A5BD2">
      <w:pPr>
        <w:pStyle w:val="TOC3"/>
        <w:rPr>
          <w:snapToGrid/>
          <w:sz w:val="24"/>
          <w:szCs w:val="24"/>
          <w:lang w:eastAsia="sl-SI"/>
        </w:rPr>
      </w:pPr>
      <w:r w:rsidRPr="00875208">
        <w:rPr>
          <w:b/>
          <w:sz w:val="24"/>
          <w:szCs w:val="24"/>
        </w:rPr>
        <w:t>2.2.1</w:t>
      </w:r>
      <w:r w:rsidRPr="00875208">
        <w:rPr>
          <w:snapToGrid/>
          <w:sz w:val="24"/>
          <w:szCs w:val="24"/>
          <w:lang w:eastAsia="sl-SI"/>
        </w:rPr>
        <w:tab/>
      </w:r>
      <w:r w:rsidRPr="00875208">
        <w:rPr>
          <w:sz w:val="24"/>
          <w:szCs w:val="24"/>
        </w:rPr>
        <w:t>Concept Note content</w:t>
      </w:r>
      <w:r w:rsidRPr="00875208">
        <w:rPr>
          <w:sz w:val="24"/>
          <w:szCs w:val="24"/>
        </w:rPr>
        <w:tab/>
      </w:r>
      <w:r w:rsidR="001E73E7" w:rsidRPr="00875208">
        <w:rPr>
          <w:sz w:val="24"/>
          <w:szCs w:val="24"/>
        </w:rPr>
        <w:t>19</w:t>
      </w:r>
    </w:p>
    <w:p w:rsidR="007A5BD2" w:rsidRPr="00875208" w:rsidRDefault="007A5BD2" w:rsidP="007A5BD2">
      <w:pPr>
        <w:pStyle w:val="TOC3"/>
        <w:rPr>
          <w:snapToGrid/>
          <w:sz w:val="24"/>
          <w:szCs w:val="24"/>
          <w:lang w:eastAsia="sl-SI"/>
        </w:rPr>
      </w:pPr>
      <w:r w:rsidRPr="00875208">
        <w:rPr>
          <w:b/>
          <w:sz w:val="24"/>
          <w:szCs w:val="24"/>
        </w:rPr>
        <w:t xml:space="preserve">2.2.2 </w:t>
      </w:r>
      <w:r w:rsidRPr="00875208">
        <w:rPr>
          <w:sz w:val="24"/>
          <w:szCs w:val="24"/>
        </w:rPr>
        <w:t xml:space="preserve"> Where and how to send Concept Notes</w:t>
      </w:r>
      <w:r w:rsidRPr="00875208">
        <w:rPr>
          <w:sz w:val="24"/>
          <w:szCs w:val="24"/>
        </w:rPr>
        <w:tab/>
      </w:r>
      <w:r w:rsidR="001E73E7" w:rsidRPr="00875208">
        <w:rPr>
          <w:sz w:val="24"/>
          <w:szCs w:val="24"/>
        </w:rPr>
        <w:t>20</w:t>
      </w:r>
    </w:p>
    <w:p w:rsidR="007A5BD2" w:rsidRPr="0043073E" w:rsidRDefault="007A5BD2" w:rsidP="007A5BD2">
      <w:pPr>
        <w:pStyle w:val="TOC3"/>
        <w:rPr>
          <w:snapToGrid/>
          <w:sz w:val="24"/>
          <w:szCs w:val="24"/>
          <w:lang w:eastAsia="sl-SI"/>
        </w:rPr>
      </w:pPr>
      <w:r w:rsidRPr="00875208">
        <w:rPr>
          <w:b/>
          <w:sz w:val="24"/>
          <w:szCs w:val="24"/>
        </w:rPr>
        <w:t>2.2.3</w:t>
      </w:r>
      <w:r w:rsidRPr="00875208">
        <w:rPr>
          <w:snapToGrid/>
          <w:sz w:val="24"/>
          <w:szCs w:val="24"/>
          <w:lang w:eastAsia="sl-SI"/>
        </w:rPr>
        <w:tab/>
      </w:r>
      <w:r w:rsidRPr="00875208">
        <w:rPr>
          <w:sz w:val="24"/>
          <w:szCs w:val="24"/>
        </w:rPr>
        <w:t>Deadline for submission of Concept Notes</w:t>
      </w:r>
      <w:r w:rsidRPr="00875208">
        <w:rPr>
          <w:sz w:val="24"/>
          <w:szCs w:val="24"/>
        </w:rPr>
        <w:tab/>
      </w:r>
      <w:r w:rsidR="0043073E">
        <w:rPr>
          <w:sz w:val="24"/>
          <w:szCs w:val="24"/>
        </w:rPr>
        <w:t>2</w:t>
      </w:r>
      <w:r w:rsidR="00850C7A">
        <w:rPr>
          <w:sz w:val="24"/>
          <w:szCs w:val="24"/>
        </w:rPr>
        <w:t>0</w:t>
      </w:r>
    </w:p>
    <w:p w:rsidR="0043073E" w:rsidRDefault="007A5BD2" w:rsidP="0043073E">
      <w:pPr>
        <w:pStyle w:val="TOC3"/>
        <w:rPr>
          <w:sz w:val="24"/>
          <w:szCs w:val="24"/>
        </w:rPr>
      </w:pPr>
      <w:r w:rsidRPr="00875208">
        <w:rPr>
          <w:b/>
          <w:sz w:val="24"/>
          <w:szCs w:val="24"/>
        </w:rPr>
        <w:t>2.2.4</w:t>
      </w:r>
      <w:r w:rsidRPr="00875208">
        <w:rPr>
          <w:snapToGrid/>
          <w:sz w:val="24"/>
          <w:szCs w:val="24"/>
          <w:lang w:eastAsia="sl-SI"/>
        </w:rPr>
        <w:tab/>
      </w:r>
      <w:r w:rsidRPr="00875208">
        <w:rPr>
          <w:sz w:val="24"/>
          <w:szCs w:val="24"/>
        </w:rPr>
        <w:t>Further information about Concept Notes</w:t>
      </w:r>
      <w:r w:rsidRPr="00875208">
        <w:rPr>
          <w:sz w:val="24"/>
          <w:szCs w:val="24"/>
        </w:rPr>
        <w:tab/>
      </w:r>
      <w:r w:rsidR="00222CE0" w:rsidRPr="00875208">
        <w:rPr>
          <w:sz w:val="24"/>
          <w:szCs w:val="24"/>
        </w:rPr>
        <w:t>21</w:t>
      </w:r>
    </w:p>
    <w:p w:rsidR="0043073E" w:rsidRPr="0043073E" w:rsidRDefault="0043073E" w:rsidP="0043073E">
      <w:pPr>
        <w:pStyle w:val="TOC3"/>
        <w:rPr>
          <w:sz w:val="24"/>
          <w:szCs w:val="24"/>
        </w:rPr>
      </w:pPr>
      <w:r>
        <w:rPr>
          <w:b/>
          <w:sz w:val="24"/>
          <w:szCs w:val="24"/>
        </w:rPr>
        <w:t>2.2.5</w:t>
      </w:r>
      <w:r w:rsidRPr="00875208">
        <w:rPr>
          <w:snapToGrid/>
          <w:sz w:val="24"/>
          <w:szCs w:val="24"/>
          <w:lang w:eastAsia="sl-SI"/>
        </w:rPr>
        <w:tab/>
      </w:r>
      <w:r w:rsidRPr="00875208">
        <w:rPr>
          <w:sz w:val="24"/>
          <w:szCs w:val="24"/>
        </w:rPr>
        <w:t>Fu</w:t>
      </w:r>
      <w:r>
        <w:rPr>
          <w:sz w:val="24"/>
          <w:szCs w:val="24"/>
        </w:rPr>
        <w:t>ll aplication forms</w:t>
      </w:r>
      <w:r w:rsidRPr="00875208">
        <w:rPr>
          <w:sz w:val="24"/>
          <w:szCs w:val="24"/>
        </w:rPr>
        <w:tab/>
        <w:t>21</w:t>
      </w:r>
    </w:p>
    <w:p w:rsidR="00222CE0" w:rsidRPr="0043073E" w:rsidRDefault="00B47AB1" w:rsidP="00222CE0">
      <w:pPr>
        <w:pStyle w:val="TOC3"/>
        <w:rPr>
          <w:sz w:val="24"/>
          <w:szCs w:val="24"/>
        </w:rPr>
      </w:pPr>
      <w:hyperlink w:anchor="_Toc384374711" w:history="1">
        <w:r w:rsidR="004C6862">
          <w:rPr>
            <w:rStyle w:val="Hyperlink"/>
            <w:b/>
            <w:color w:val="auto"/>
            <w:sz w:val="24"/>
            <w:szCs w:val="24"/>
          </w:rPr>
          <w:t>2.2.6</w:t>
        </w:r>
        <w:r w:rsidR="00222CE0" w:rsidRPr="00875208">
          <w:rPr>
            <w:snapToGrid/>
            <w:sz w:val="24"/>
            <w:szCs w:val="24"/>
            <w:lang w:eastAsia="en-GB"/>
          </w:rPr>
          <w:tab/>
        </w:r>
        <w:r w:rsidR="004622DC" w:rsidRPr="00875208">
          <w:rPr>
            <w:rStyle w:val="Hyperlink"/>
            <w:color w:val="auto"/>
            <w:sz w:val="24"/>
            <w:szCs w:val="24"/>
          </w:rPr>
          <w:t>Where and how to send Full Application forms</w:t>
        </w:r>
        <w:r w:rsidR="00222CE0" w:rsidRPr="00875208">
          <w:rPr>
            <w:webHidden/>
            <w:sz w:val="24"/>
            <w:szCs w:val="24"/>
          </w:rPr>
          <w:tab/>
        </w:r>
      </w:hyperlink>
      <w:r w:rsidR="0043073E" w:rsidRPr="00720ACD">
        <w:rPr>
          <w:sz w:val="24"/>
          <w:szCs w:val="24"/>
        </w:rPr>
        <w:t>22</w:t>
      </w:r>
    </w:p>
    <w:p w:rsidR="00E57C37" w:rsidRDefault="004C6862" w:rsidP="004C6862">
      <w:pPr>
        <w:spacing w:after="40"/>
        <w:ind w:firstLine="567"/>
        <w:rPr>
          <w:sz w:val="24"/>
          <w:szCs w:val="24"/>
        </w:rPr>
      </w:pPr>
      <w:r>
        <w:rPr>
          <w:b/>
          <w:sz w:val="24"/>
          <w:szCs w:val="24"/>
        </w:rPr>
        <w:t>2.2.7</w:t>
      </w:r>
      <w:r w:rsidR="00875208" w:rsidRPr="00875208">
        <w:rPr>
          <w:b/>
          <w:sz w:val="24"/>
          <w:szCs w:val="24"/>
        </w:rPr>
        <w:t xml:space="preserve"> </w:t>
      </w:r>
      <w:r w:rsidR="00875208" w:rsidRPr="00875208">
        <w:rPr>
          <w:sz w:val="24"/>
          <w:szCs w:val="24"/>
        </w:rPr>
        <w:t>Deadline for submission of Full Application forms</w:t>
      </w:r>
      <w:r w:rsidR="000025AF">
        <w:rPr>
          <w:sz w:val="24"/>
          <w:szCs w:val="24"/>
        </w:rPr>
        <w:t xml:space="preserve"> </w:t>
      </w:r>
      <w:r w:rsidR="00720ACD">
        <w:rPr>
          <w:sz w:val="24"/>
          <w:szCs w:val="24"/>
        </w:rPr>
        <w:t>………………………………</w:t>
      </w:r>
      <w:r w:rsidR="00720ACD" w:rsidRPr="00875208">
        <w:rPr>
          <w:sz w:val="24"/>
          <w:szCs w:val="24"/>
        </w:rPr>
        <w:t>…....</w:t>
      </w:r>
      <w:r w:rsidR="00720ACD">
        <w:rPr>
          <w:sz w:val="24"/>
          <w:szCs w:val="24"/>
        </w:rPr>
        <w:t>22</w:t>
      </w:r>
    </w:p>
    <w:p w:rsidR="00875208" w:rsidRPr="00875208" w:rsidRDefault="004C6862" w:rsidP="004C6862">
      <w:pPr>
        <w:spacing w:after="40"/>
        <w:ind w:firstLine="567"/>
        <w:rPr>
          <w:sz w:val="24"/>
          <w:szCs w:val="24"/>
        </w:rPr>
      </w:pPr>
      <w:r>
        <w:rPr>
          <w:b/>
          <w:sz w:val="24"/>
          <w:szCs w:val="24"/>
        </w:rPr>
        <w:t xml:space="preserve">2.2.8 </w:t>
      </w:r>
      <w:r w:rsidR="00875208">
        <w:rPr>
          <w:sz w:val="24"/>
          <w:szCs w:val="24"/>
        </w:rPr>
        <w:t>Further information about Full Application forms</w:t>
      </w:r>
      <w:r w:rsidR="00720ACD">
        <w:rPr>
          <w:sz w:val="24"/>
          <w:szCs w:val="24"/>
        </w:rPr>
        <w:t>…………………………………….</w:t>
      </w:r>
      <w:r w:rsidR="00875208">
        <w:rPr>
          <w:sz w:val="24"/>
          <w:szCs w:val="24"/>
        </w:rPr>
        <w:t>.</w:t>
      </w:r>
      <w:r w:rsidR="00720ACD">
        <w:rPr>
          <w:sz w:val="24"/>
          <w:szCs w:val="24"/>
        </w:rPr>
        <w:t>23</w:t>
      </w:r>
    </w:p>
    <w:p w:rsidR="007A5BD2" w:rsidRPr="00875208" w:rsidRDefault="007A5BD2" w:rsidP="007A5BD2">
      <w:pPr>
        <w:pStyle w:val="TOC2"/>
        <w:rPr>
          <w:noProof/>
          <w:sz w:val="24"/>
          <w:szCs w:val="24"/>
        </w:rPr>
      </w:pPr>
      <w:r w:rsidRPr="00D40076">
        <w:rPr>
          <w:b/>
          <w:noProof/>
          <w:sz w:val="24"/>
          <w:szCs w:val="24"/>
        </w:rPr>
        <w:t>2.3</w:t>
      </w:r>
      <w:r w:rsidRPr="00875208">
        <w:rPr>
          <w:noProof/>
          <w:snapToGrid/>
          <w:sz w:val="24"/>
          <w:szCs w:val="24"/>
          <w:lang w:eastAsia="sl-SI"/>
        </w:rPr>
        <w:tab/>
      </w:r>
      <w:r w:rsidRPr="00875208">
        <w:rPr>
          <w:noProof/>
          <w:sz w:val="24"/>
          <w:szCs w:val="24"/>
        </w:rPr>
        <w:t>Evaluation and selection of applications</w:t>
      </w:r>
      <w:r w:rsidRPr="00875208">
        <w:rPr>
          <w:noProof/>
          <w:sz w:val="24"/>
          <w:szCs w:val="24"/>
        </w:rPr>
        <w:tab/>
      </w:r>
      <w:r w:rsidR="00222CE0" w:rsidRPr="00875208">
        <w:rPr>
          <w:noProof/>
          <w:sz w:val="24"/>
          <w:szCs w:val="24"/>
        </w:rPr>
        <w:t>23</w:t>
      </w:r>
    </w:p>
    <w:p w:rsidR="007A5BD2" w:rsidRPr="00875208" w:rsidRDefault="007A5BD2" w:rsidP="007A5BD2">
      <w:pPr>
        <w:pStyle w:val="TOC2"/>
        <w:rPr>
          <w:noProof/>
          <w:sz w:val="24"/>
          <w:szCs w:val="24"/>
        </w:rPr>
      </w:pPr>
      <w:r w:rsidRPr="00D40076">
        <w:rPr>
          <w:b/>
          <w:noProof/>
          <w:sz w:val="24"/>
          <w:szCs w:val="24"/>
        </w:rPr>
        <w:t>2.4</w:t>
      </w:r>
      <w:r w:rsidRPr="00875208">
        <w:rPr>
          <w:noProof/>
          <w:snapToGrid/>
          <w:sz w:val="24"/>
          <w:szCs w:val="24"/>
          <w:lang w:eastAsia="sl-SI"/>
        </w:rPr>
        <w:tab/>
      </w:r>
      <w:r w:rsidRPr="00875208">
        <w:rPr>
          <w:noProof/>
          <w:sz w:val="24"/>
          <w:szCs w:val="24"/>
        </w:rPr>
        <w:t>Submission of supporting documents for provisionally selected applications</w:t>
      </w:r>
      <w:r w:rsidRPr="00875208">
        <w:rPr>
          <w:noProof/>
          <w:sz w:val="24"/>
          <w:szCs w:val="24"/>
        </w:rPr>
        <w:tab/>
      </w:r>
      <w:r w:rsidR="00222CE0" w:rsidRPr="00875208">
        <w:rPr>
          <w:noProof/>
          <w:sz w:val="24"/>
          <w:szCs w:val="24"/>
        </w:rPr>
        <w:t>27</w:t>
      </w:r>
    </w:p>
    <w:p w:rsidR="007A5BD2" w:rsidRPr="00875208" w:rsidRDefault="007A5BD2" w:rsidP="007A5BD2">
      <w:pPr>
        <w:pStyle w:val="TOC2"/>
        <w:rPr>
          <w:noProof/>
          <w:snapToGrid/>
          <w:sz w:val="24"/>
          <w:szCs w:val="24"/>
          <w:lang w:eastAsia="sl-SI"/>
        </w:rPr>
      </w:pPr>
      <w:r w:rsidRPr="00D40076">
        <w:rPr>
          <w:b/>
          <w:bCs/>
          <w:noProof/>
          <w:sz w:val="24"/>
          <w:szCs w:val="24"/>
        </w:rPr>
        <w:t>2.5</w:t>
      </w:r>
      <w:r w:rsidRPr="00875208">
        <w:rPr>
          <w:bCs/>
          <w:noProof/>
          <w:sz w:val="24"/>
          <w:szCs w:val="24"/>
        </w:rPr>
        <w:t xml:space="preserve"> </w:t>
      </w:r>
      <w:r w:rsidRPr="00875208">
        <w:rPr>
          <w:noProof/>
          <w:snapToGrid/>
          <w:sz w:val="24"/>
          <w:szCs w:val="24"/>
          <w:lang w:eastAsia="sl-SI"/>
        </w:rPr>
        <w:tab/>
      </w:r>
      <w:r w:rsidRPr="00875208">
        <w:rPr>
          <w:bCs/>
          <w:noProof/>
          <w:sz w:val="24"/>
          <w:szCs w:val="24"/>
        </w:rPr>
        <w:t>Notification of the Contracting Authority’s decision</w:t>
      </w:r>
      <w:r w:rsidRPr="00875208">
        <w:rPr>
          <w:noProof/>
          <w:sz w:val="24"/>
          <w:szCs w:val="24"/>
        </w:rPr>
        <w:tab/>
      </w:r>
      <w:r w:rsidR="005B283D">
        <w:rPr>
          <w:noProof/>
          <w:sz w:val="24"/>
          <w:szCs w:val="24"/>
        </w:rPr>
        <w:t>29</w:t>
      </w:r>
    </w:p>
    <w:p w:rsidR="007A5BD2" w:rsidRPr="00875208" w:rsidRDefault="007A5BD2" w:rsidP="007A5BD2">
      <w:pPr>
        <w:pStyle w:val="TOC3"/>
        <w:rPr>
          <w:snapToGrid/>
          <w:sz w:val="24"/>
          <w:szCs w:val="24"/>
          <w:lang w:eastAsia="sl-SI"/>
        </w:rPr>
      </w:pPr>
      <w:r w:rsidRPr="00D40076">
        <w:rPr>
          <w:b/>
          <w:iCs/>
          <w:sz w:val="24"/>
          <w:szCs w:val="24"/>
        </w:rPr>
        <w:t>2.</w:t>
      </w:r>
      <w:r w:rsidR="00AC070B" w:rsidRPr="00D40076">
        <w:rPr>
          <w:b/>
          <w:iCs/>
          <w:sz w:val="24"/>
          <w:szCs w:val="24"/>
        </w:rPr>
        <w:t>5</w:t>
      </w:r>
      <w:r w:rsidRPr="00D40076">
        <w:rPr>
          <w:b/>
          <w:iCs/>
          <w:sz w:val="24"/>
          <w:szCs w:val="24"/>
        </w:rPr>
        <w:t>.1</w:t>
      </w:r>
      <w:r w:rsidRPr="00875208">
        <w:rPr>
          <w:iCs/>
          <w:sz w:val="24"/>
          <w:szCs w:val="24"/>
        </w:rPr>
        <w:t xml:space="preserve"> Content of the decision</w:t>
      </w:r>
      <w:r w:rsidRPr="00875208">
        <w:rPr>
          <w:sz w:val="24"/>
          <w:szCs w:val="24"/>
        </w:rPr>
        <w:tab/>
      </w:r>
      <w:r w:rsidR="005B283D">
        <w:rPr>
          <w:sz w:val="24"/>
          <w:szCs w:val="24"/>
        </w:rPr>
        <w:t>29</w:t>
      </w:r>
    </w:p>
    <w:p w:rsidR="007A5BD2" w:rsidRPr="00875208" w:rsidRDefault="007A5BD2" w:rsidP="007A5BD2">
      <w:pPr>
        <w:pStyle w:val="TOC3"/>
        <w:rPr>
          <w:snapToGrid/>
          <w:sz w:val="24"/>
          <w:szCs w:val="24"/>
          <w:lang w:eastAsia="sl-SI"/>
        </w:rPr>
      </w:pPr>
      <w:r w:rsidRPr="00D40076">
        <w:rPr>
          <w:b/>
          <w:sz w:val="24"/>
          <w:szCs w:val="24"/>
        </w:rPr>
        <w:t>2.</w:t>
      </w:r>
      <w:r w:rsidR="00AC070B" w:rsidRPr="00D40076">
        <w:rPr>
          <w:b/>
          <w:sz w:val="24"/>
          <w:szCs w:val="24"/>
        </w:rPr>
        <w:t>5</w:t>
      </w:r>
      <w:r w:rsidRPr="00D40076">
        <w:rPr>
          <w:b/>
          <w:sz w:val="24"/>
          <w:szCs w:val="24"/>
        </w:rPr>
        <w:t>.2</w:t>
      </w:r>
      <w:r w:rsidRPr="00875208">
        <w:rPr>
          <w:sz w:val="24"/>
          <w:szCs w:val="24"/>
        </w:rPr>
        <w:t xml:space="preserve"> Indicative time table</w:t>
      </w:r>
      <w:r w:rsidRPr="00875208">
        <w:rPr>
          <w:sz w:val="24"/>
          <w:szCs w:val="24"/>
        </w:rPr>
        <w:tab/>
      </w:r>
      <w:r w:rsidR="00D63667" w:rsidRPr="00875208">
        <w:rPr>
          <w:sz w:val="24"/>
          <w:szCs w:val="24"/>
        </w:rPr>
        <w:t>2</w:t>
      </w:r>
      <w:r w:rsidR="00D63667">
        <w:rPr>
          <w:sz w:val="24"/>
          <w:szCs w:val="24"/>
        </w:rPr>
        <w:t>9</w:t>
      </w:r>
    </w:p>
    <w:p w:rsidR="007A5BD2" w:rsidRDefault="007A5BD2" w:rsidP="007A5BD2">
      <w:pPr>
        <w:pStyle w:val="TOC2"/>
        <w:rPr>
          <w:noProof/>
          <w:sz w:val="24"/>
          <w:szCs w:val="24"/>
        </w:rPr>
      </w:pPr>
      <w:r w:rsidRPr="00D40076">
        <w:rPr>
          <w:b/>
          <w:noProof/>
          <w:sz w:val="24"/>
          <w:szCs w:val="24"/>
        </w:rPr>
        <w:t>2.</w:t>
      </w:r>
      <w:r w:rsidR="00067FD9" w:rsidRPr="00D40076">
        <w:rPr>
          <w:b/>
          <w:noProof/>
          <w:snapToGrid/>
          <w:sz w:val="24"/>
          <w:szCs w:val="24"/>
          <w:lang w:eastAsia="sl-SI"/>
        </w:rPr>
        <w:t>6</w:t>
      </w:r>
      <w:r w:rsidR="009728C0">
        <w:rPr>
          <w:noProof/>
          <w:snapToGrid/>
          <w:sz w:val="24"/>
          <w:szCs w:val="24"/>
          <w:lang w:eastAsia="sl-SI"/>
        </w:rPr>
        <w:t xml:space="preserve"> </w:t>
      </w:r>
      <w:r w:rsidRPr="00875208">
        <w:rPr>
          <w:noProof/>
          <w:sz w:val="24"/>
          <w:szCs w:val="24"/>
        </w:rPr>
        <w:t>Conditions for implementation after the Contracting Authority’s decision to award a grant</w:t>
      </w:r>
      <w:r w:rsidRPr="00875208">
        <w:rPr>
          <w:noProof/>
          <w:sz w:val="24"/>
          <w:szCs w:val="24"/>
        </w:rPr>
        <w:tab/>
      </w:r>
      <w:r w:rsidR="00D63667">
        <w:rPr>
          <w:noProof/>
          <w:sz w:val="24"/>
          <w:szCs w:val="24"/>
        </w:rPr>
        <w:t>30</w:t>
      </w:r>
    </w:p>
    <w:p w:rsidR="00ED389E" w:rsidRPr="00ED389E" w:rsidRDefault="00ED389E" w:rsidP="00ED389E"/>
    <w:p w:rsidR="007A5BD2" w:rsidRPr="0043073E" w:rsidRDefault="007A5BD2" w:rsidP="007A5BD2">
      <w:pPr>
        <w:pStyle w:val="TOC1"/>
        <w:rPr>
          <w:rFonts w:ascii="Times New Roman" w:hAnsi="Times New Roman"/>
          <w:b w:val="0"/>
          <w:caps w:val="0"/>
          <w:noProof/>
          <w:snapToGrid/>
          <w:sz w:val="24"/>
          <w:szCs w:val="24"/>
          <w:lang w:eastAsia="sl-SI"/>
        </w:rPr>
      </w:pPr>
      <w:r w:rsidRPr="00875208">
        <w:rPr>
          <w:rFonts w:ascii="Times New Roman" w:hAnsi="Times New Roman"/>
          <w:noProof/>
          <w:sz w:val="24"/>
          <w:szCs w:val="24"/>
        </w:rPr>
        <w:t>3.</w:t>
      </w:r>
      <w:r w:rsidRPr="00875208">
        <w:rPr>
          <w:rFonts w:ascii="Times New Roman" w:hAnsi="Times New Roman"/>
          <w:b w:val="0"/>
          <w:caps w:val="0"/>
          <w:noProof/>
          <w:snapToGrid/>
          <w:sz w:val="24"/>
          <w:szCs w:val="24"/>
          <w:lang w:eastAsia="sl-SI"/>
        </w:rPr>
        <w:tab/>
      </w:r>
      <w:r w:rsidRPr="00875208">
        <w:rPr>
          <w:rFonts w:ascii="Times New Roman" w:hAnsi="Times New Roman"/>
          <w:noProof/>
          <w:sz w:val="24"/>
          <w:szCs w:val="24"/>
        </w:rPr>
        <w:t>LIST OF annexes</w:t>
      </w:r>
      <w:r w:rsidRPr="00875208">
        <w:rPr>
          <w:rFonts w:ascii="Times New Roman" w:hAnsi="Times New Roman"/>
          <w:noProof/>
          <w:sz w:val="24"/>
          <w:szCs w:val="24"/>
        </w:rPr>
        <w:tab/>
      </w:r>
      <w:r w:rsidR="0043073E" w:rsidRPr="00720ACD">
        <w:rPr>
          <w:rFonts w:ascii="Times New Roman" w:hAnsi="Times New Roman"/>
          <w:b w:val="0"/>
          <w:noProof/>
          <w:sz w:val="24"/>
          <w:szCs w:val="24"/>
        </w:rPr>
        <w:t>31</w:t>
      </w:r>
    </w:p>
    <w:p w:rsidR="007A5BD2" w:rsidRPr="00875208" w:rsidRDefault="007A5BD2" w:rsidP="007A5BD2">
      <w:pPr>
        <w:pStyle w:val="TOC2"/>
        <w:ind w:left="0" w:firstLine="0"/>
        <w:rPr>
          <w:noProof/>
          <w:snapToGrid/>
          <w:sz w:val="24"/>
          <w:szCs w:val="24"/>
          <w:lang w:eastAsia="sl-SI"/>
        </w:rPr>
      </w:pPr>
    </w:p>
    <w:p w:rsidR="00F00013" w:rsidRDefault="007E64D1">
      <w:pPr>
        <w:spacing w:after="0"/>
        <w:jc w:val="left"/>
        <w:rPr>
          <w:sz w:val="24"/>
          <w:szCs w:val="24"/>
        </w:rPr>
      </w:pPr>
      <w:r w:rsidRPr="00875208">
        <w:rPr>
          <w:sz w:val="24"/>
          <w:szCs w:val="24"/>
        </w:rPr>
        <w:fldChar w:fldCharType="end"/>
      </w:r>
      <w:r w:rsidR="00F00013">
        <w:rPr>
          <w:sz w:val="24"/>
          <w:szCs w:val="24"/>
        </w:rPr>
        <w:br w:type="page"/>
      </w:r>
    </w:p>
    <w:p w:rsidR="00573CCA" w:rsidRPr="00875208" w:rsidRDefault="00F14557" w:rsidP="00F14557">
      <w:pPr>
        <w:pStyle w:val="Guidelines2"/>
        <w:numPr>
          <w:ilvl w:val="0"/>
          <w:numId w:val="0"/>
        </w:numPr>
        <w:ind w:left="567" w:hanging="567"/>
        <w:rPr>
          <w:rFonts w:ascii="Times New Roman" w:hAnsi="Times New Roman"/>
          <w:szCs w:val="24"/>
        </w:rPr>
      </w:pPr>
      <w:bookmarkStart w:id="1" w:name="_Toc384374695"/>
      <w:r w:rsidRPr="00875208">
        <w:rPr>
          <w:rFonts w:ascii="Times New Roman" w:hAnsi="Times New Roman"/>
          <w:caps/>
          <w:smallCaps w:val="0"/>
          <w:szCs w:val="24"/>
        </w:rPr>
        <w:lastRenderedPageBreak/>
        <w:t xml:space="preserve">1. </w:t>
      </w:r>
      <w:r w:rsidR="00573CCA" w:rsidRPr="00875208">
        <w:rPr>
          <w:rFonts w:ascii="Times New Roman" w:hAnsi="Times New Roman"/>
          <w:caps/>
          <w:smallCaps w:val="0"/>
          <w:szCs w:val="24"/>
        </w:rPr>
        <w:t>The EUROPEAN PARTNERSHIP WITH MUNICIPALITIES (</w:t>
      </w:r>
      <w:r w:rsidR="00AE7CE9" w:rsidRPr="00875208">
        <w:rPr>
          <w:rFonts w:ascii="Times New Roman" w:hAnsi="Times New Roman"/>
          <w:noProof/>
          <w:szCs w:val="24"/>
        </w:rPr>
        <w:t>EUROPEAN</w:t>
      </w:r>
      <w:r w:rsidR="00573CCA" w:rsidRPr="00875208">
        <w:rPr>
          <w:rFonts w:ascii="Times New Roman" w:hAnsi="Times New Roman"/>
          <w:caps/>
          <w:smallCaps w:val="0"/>
          <w:szCs w:val="24"/>
        </w:rPr>
        <w:t xml:space="preserve"> PROGRES</w:t>
      </w:r>
      <w:r w:rsidR="00367AA3">
        <w:rPr>
          <w:rFonts w:ascii="Times New Roman" w:hAnsi="Times New Roman"/>
          <w:caps/>
          <w:smallCaps w:val="0"/>
          <w:szCs w:val="24"/>
        </w:rPr>
        <w:t>s</w:t>
      </w:r>
      <w:r w:rsidR="00573CCA" w:rsidRPr="00875208">
        <w:rPr>
          <w:rFonts w:ascii="Times New Roman" w:hAnsi="Times New Roman"/>
          <w:caps/>
          <w:smallCaps w:val="0"/>
          <w:szCs w:val="24"/>
        </w:rPr>
        <w:t>)</w:t>
      </w:r>
    </w:p>
    <w:p w:rsidR="0007408E" w:rsidRPr="00875208" w:rsidRDefault="0007408E" w:rsidP="004741A1">
      <w:pPr>
        <w:pStyle w:val="Guidelines2"/>
        <w:rPr>
          <w:rFonts w:ascii="Times New Roman" w:hAnsi="Times New Roman"/>
          <w:szCs w:val="24"/>
        </w:rPr>
      </w:pPr>
      <w:r w:rsidRPr="00875208">
        <w:rPr>
          <w:rFonts w:ascii="Times New Roman" w:hAnsi="Times New Roman"/>
          <w:szCs w:val="24"/>
        </w:rPr>
        <w:t>Background</w:t>
      </w:r>
      <w:bookmarkEnd w:id="1"/>
    </w:p>
    <w:p w:rsidR="004A54EC" w:rsidRDefault="00360EC0" w:rsidP="00360EC0">
      <w:pPr>
        <w:rPr>
          <w:noProof/>
          <w:sz w:val="24"/>
          <w:szCs w:val="24"/>
        </w:rPr>
      </w:pPr>
      <w:r w:rsidRPr="00C263CF">
        <w:rPr>
          <w:noProof/>
          <w:sz w:val="24"/>
          <w:szCs w:val="24"/>
        </w:rPr>
        <w:t>European PROGRES</w:t>
      </w:r>
      <w:r w:rsidR="00367AA3">
        <w:rPr>
          <w:noProof/>
          <w:sz w:val="24"/>
          <w:szCs w:val="24"/>
        </w:rPr>
        <w:t>S</w:t>
      </w:r>
      <w:r w:rsidRPr="00C263CF">
        <w:rPr>
          <w:noProof/>
          <w:sz w:val="24"/>
          <w:szCs w:val="24"/>
        </w:rPr>
        <w:t xml:space="preserve"> is a multi-donor Programme, financed by the European Union (EU), the Government of Switzerland and the Government of Serbia, designed to support sustainable development in the South East and South West Serbia. The Programme has been conceptualised jointly with the European Integration Office of the Government of the Republic of Serbia (SEIO), which has responsibility for monitoring implementation and providing assistance and facilitation.</w:t>
      </w:r>
    </w:p>
    <w:p w:rsidR="00E16A1F" w:rsidRPr="004A0E55" w:rsidRDefault="00E16A1F" w:rsidP="00E16A1F">
      <w:pPr>
        <w:rPr>
          <w:noProof/>
          <w:sz w:val="24"/>
          <w:szCs w:val="24"/>
        </w:rPr>
      </w:pPr>
      <w:r w:rsidRPr="004A0E55">
        <w:rPr>
          <w:sz w:val="24"/>
          <w:szCs w:val="24"/>
        </w:rPr>
        <w:t>The programme will intensively work on strengthening local administration capacities and increasing efficiency and effectiveness in service providing and implementation of existing legal framework, especially regarding public procurement. This is in line with the findings of the Serbia 2014 Progress Report (pages 10 and 25). In order to increase potentials of municipalities in strengthening industrial activities this programme will support development of infrastructure preconditions for economic development, as well as satisfy basic infrastructure needs of benefiting municipalities, which is fully in line with the Serbia 2014 Progress Report (pages 20 and 22). Furthermore, the programme will provide support to SMEs and agricultural producers in increasing their competitiveness through introduction of cooperation, new technologies and standardisation, which is underlined in the Serbia 2014 Progress Report as one of main issues concerning economic criteria (pages 29, 30, 31,</w:t>
      </w:r>
      <w:r w:rsidR="00484ED5">
        <w:rPr>
          <w:sz w:val="24"/>
          <w:szCs w:val="24"/>
        </w:rPr>
        <w:t xml:space="preserve"> </w:t>
      </w:r>
      <w:r w:rsidRPr="004A0E55">
        <w:rPr>
          <w:sz w:val="24"/>
          <w:szCs w:val="24"/>
        </w:rPr>
        <w:t xml:space="preserve">37 and 38).    </w:t>
      </w:r>
    </w:p>
    <w:p w:rsidR="004A54EC" w:rsidRPr="00C263CF" w:rsidRDefault="004A54EC" w:rsidP="00360EC0">
      <w:pPr>
        <w:rPr>
          <w:noProof/>
          <w:sz w:val="24"/>
          <w:szCs w:val="24"/>
        </w:rPr>
      </w:pPr>
      <w:r w:rsidRPr="00C263CF">
        <w:rPr>
          <w:sz w:val="24"/>
          <w:szCs w:val="24"/>
        </w:rPr>
        <w:t>The European Union has earmarked 19.6 million Euros and the Swiss Government 4.86 million Euros for the implementation of European PROGRES. The Government of Serbia will provide co-funding of individual projects through the line ministries and local self-governments. From the total budget, eight million Euros have been set aside for priority infrastructure projects, which will be implemented directly through the Ministry of Finance’s Central Financing and Contracting Unit (CFCU). The European Integrations Office of the Government of Serbia provides strategic guidance and the Programme is implemented by UNOPS and the Government of the Republic of Serbia.</w:t>
      </w:r>
    </w:p>
    <w:p w:rsidR="00360EC0" w:rsidRPr="00C263CF" w:rsidRDefault="00360EC0" w:rsidP="00360EC0">
      <w:pPr>
        <w:rPr>
          <w:noProof/>
          <w:sz w:val="24"/>
          <w:szCs w:val="24"/>
        </w:rPr>
      </w:pPr>
      <w:r w:rsidRPr="00C263CF">
        <w:rPr>
          <w:noProof/>
          <w:sz w:val="24"/>
          <w:szCs w:val="24"/>
        </w:rPr>
        <w:t xml:space="preserve">The United Nations Office for Project Services (UNOPS) has been granted with an initial budget of 17.46 million Euros and has the overall responsibility for the Programme implementation. </w:t>
      </w:r>
    </w:p>
    <w:p w:rsidR="00360EC0" w:rsidRPr="00875208" w:rsidRDefault="00360EC0" w:rsidP="00360EC0">
      <w:pPr>
        <w:rPr>
          <w:noProof/>
          <w:sz w:val="24"/>
          <w:szCs w:val="24"/>
        </w:rPr>
      </w:pPr>
      <w:r w:rsidRPr="00C263CF">
        <w:rPr>
          <w:noProof/>
          <w:sz w:val="24"/>
          <w:szCs w:val="24"/>
        </w:rPr>
        <w:t>Through a multi-sector approach this Programme will contribute to sustainable development of underdeveloped areas and creation of more favorable environment for infrastructure and business growth by strengthening local governance, improving vertical coordination, planning and management capacities, improving business environment and development, as well as enhancing implementation of social inclusion and employment policies.</w:t>
      </w:r>
    </w:p>
    <w:p w:rsidR="00360EC0" w:rsidRPr="00875208" w:rsidRDefault="00360EC0" w:rsidP="00360EC0">
      <w:pPr>
        <w:rPr>
          <w:noProof/>
          <w:sz w:val="24"/>
          <w:szCs w:val="24"/>
        </w:rPr>
      </w:pPr>
      <w:r w:rsidRPr="00875208">
        <w:rPr>
          <w:noProof/>
          <w:sz w:val="24"/>
          <w:szCs w:val="24"/>
        </w:rPr>
        <w:t>The Programme works towards achieving four main results, while good governance principles are interwoven as a cross cutting aspect of the entire intervention:</w:t>
      </w:r>
    </w:p>
    <w:p w:rsidR="00360EC0" w:rsidRPr="00875208" w:rsidRDefault="00360EC0" w:rsidP="00360EC0">
      <w:pPr>
        <w:rPr>
          <w:noProof/>
          <w:sz w:val="24"/>
          <w:szCs w:val="24"/>
        </w:rPr>
      </w:pPr>
      <w:r w:rsidRPr="00875208">
        <w:rPr>
          <w:noProof/>
          <w:sz w:val="24"/>
          <w:szCs w:val="24"/>
        </w:rPr>
        <w:t>1.</w:t>
      </w:r>
      <w:r w:rsidRPr="00875208">
        <w:rPr>
          <w:noProof/>
          <w:sz w:val="24"/>
          <w:szCs w:val="24"/>
        </w:rPr>
        <w:tab/>
        <w:t>Strengthened local governance, planning and management capacities through introduction of new, or improvement/elimination of existing procedures and processes in line with the principles of good governance</w:t>
      </w:r>
    </w:p>
    <w:p w:rsidR="00360EC0" w:rsidRPr="00875208" w:rsidRDefault="00360EC0" w:rsidP="00360EC0">
      <w:pPr>
        <w:rPr>
          <w:noProof/>
          <w:sz w:val="24"/>
          <w:szCs w:val="24"/>
        </w:rPr>
      </w:pPr>
      <w:r w:rsidRPr="00875208">
        <w:rPr>
          <w:noProof/>
          <w:sz w:val="24"/>
          <w:szCs w:val="24"/>
        </w:rPr>
        <w:t>2.</w:t>
      </w:r>
      <w:r w:rsidRPr="00875208">
        <w:rPr>
          <w:noProof/>
          <w:sz w:val="24"/>
          <w:szCs w:val="24"/>
        </w:rPr>
        <w:tab/>
        <w:t xml:space="preserve">Increased competitiveness of local economy through improved business environment and management/organizational capacities of small and medium enterprises/agricultural cooperatives  </w:t>
      </w:r>
    </w:p>
    <w:p w:rsidR="00360EC0" w:rsidRPr="00875208" w:rsidRDefault="00360EC0" w:rsidP="00360EC0">
      <w:pPr>
        <w:rPr>
          <w:noProof/>
          <w:sz w:val="24"/>
          <w:szCs w:val="24"/>
        </w:rPr>
      </w:pPr>
      <w:r w:rsidRPr="00875208">
        <w:rPr>
          <w:noProof/>
          <w:sz w:val="24"/>
          <w:szCs w:val="24"/>
        </w:rPr>
        <w:t>3.</w:t>
      </w:r>
      <w:r w:rsidRPr="00875208">
        <w:rPr>
          <w:noProof/>
          <w:sz w:val="24"/>
          <w:szCs w:val="24"/>
        </w:rPr>
        <w:tab/>
        <w:t>Improved access to employment, offering equal opportunities to both men and women, and social inclusion of most vulnerable and marginalised groups through development and implementation of local policies resulting in reduced migration from South East and South West Serbia</w:t>
      </w:r>
    </w:p>
    <w:p w:rsidR="00360EC0" w:rsidRPr="00875208" w:rsidRDefault="00360EC0" w:rsidP="00360EC0">
      <w:pPr>
        <w:rPr>
          <w:noProof/>
          <w:sz w:val="24"/>
          <w:szCs w:val="24"/>
        </w:rPr>
      </w:pPr>
      <w:r w:rsidRPr="00875208">
        <w:rPr>
          <w:noProof/>
          <w:sz w:val="24"/>
          <w:szCs w:val="24"/>
        </w:rPr>
        <w:t>4.</w:t>
      </w:r>
      <w:r w:rsidRPr="00875208">
        <w:rPr>
          <w:noProof/>
          <w:sz w:val="24"/>
          <w:szCs w:val="24"/>
        </w:rPr>
        <w:tab/>
        <w:t xml:space="preserve">Effects of Serbia’s European accession communicated to general public. </w:t>
      </w:r>
    </w:p>
    <w:p w:rsidR="00360EC0" w:rsidRPr="00875208" w:rsidRDefault="00360EC0" w:rsidP="00360EC0">
      <w:pPr>
        <w:rPr>
          <w:noProof/>
          <w:sz w:val="24"/>
          <w:szCs w:val="24"/>
        </w:rPr>
      </w:pPr>
      <w:r w:rsidRPr="00875208">
        <w:rPr>
          <w:noProof/>
          <w:sz w:val="24"/>
          <w:szCs w:val="24"/>
        </w:rPr>
        <w:lastRenderedPageBreak/>
        <w:t>Final beneficiaries, but also the key stakeholders and financial contributors of this Programme are 34 municipalities from the third and fo</w:t>
      </w:r>
      <w:r w:rsidR="00E82CEA">
        <w:rPr>
          <w:noProof/>
          <w:sz w:val="24"/>
          <w:szCs w:val="24"/>
        </w:rPr>
        <w:t>urth group of development level</w:t>
      </w:r>
      <w:r w:rsidRPr="00875208">
        <w:rPr>
          <w:noProof/>
          <w:sz w:val="24"/>
          <w:szCs w:val="24"/>
        </w:rPr>
        <w:t>, which have responsibility of taking ownership of activities implemented in their territory:</w:t>
      </w:r>
    </w:p>
    <w:p w:rsidR="00360EC0" w:rsidRPr="00875208" w:rsidRDefault="00360EC0" w:rsidP="00904785">
      <w:pPr>
        <w:widowControl w:val="0"/>
        <w:numPr>
          <w:ilvl w:val="0"/>
          <w:numId w:val="20"/>
        </w:numPr>
        <w:spacing w:after="0"/>
        <w:rPr>
          <w:noProof/>
          <w:sz w:val="24"/>
          <w:szCs w:val="24"/>
        </w:rPr>
      </w:pPr>
      <w:r w:rsidRPr="00875208">
        <w:rPr>
          <w:noProof/>
          <w:sz w:val="24"/>
          <w:szCs w:val="24"/>
        </w:rPr>
        <w:t>Novi Pazar, Ivanjica, Nova Varoš, Priboj, Prijepolje, Raška, Sjenica and Tutin, in the South West Serbia</w:t>
      </w:r>
    </w:p>
    <w:p w:rsidR="00360EC0" w:rsidRPr="00875208" w:rsidRDefault="00360EC0" w:rsidP="00904785">
      <w:pPr>
        <w:widowControl w:val="0"/>
        <w:numPr>
          <w:ilvl w:val="0"/>
          <w:numId w:val="20"/>
        </w:numPr>
        <w:spacing w:after="0"/>
        <w:rPr>
          <w:noProof/>
          <w:sz w:val="24"/>
          <w:szCs w:val="24"/>
        </w:rPr>
      </w:pPr>
      <w:r w:rsidRPr="00875208">
        <w:rPr>
          <w:noProof/>
          <w:sz w:val="24"/>
          <w:szCs w:val="24"/>
        </w:rPr>
        <w:t>Prokuplje, Blace, Žitorađa, Kuršumlija in the Toplica District</w:t>
      </w:r>
    </w:p>
    <w:p w:rsidR="00360EC0" w:rsidRPr="00875208" w:rsidRDefault="00360EC0" w:rsidP="00904785">
      <w:pPr>
        <w:widowControl w:val="0"/>
        <w:numPr>
          <w:ilvl w:val="0"/>
          <w:numId w:val="20"/>
        </w:numPr>
        <w:spacing w:after="0"/>
        <w:rPr>
          <w:noProof/>
          <w:sz w:val="24"/>
          <w:szCs w:val="24"/>
        </w:rPr>
      </w:pPr>
      <w:r w:rsidRPr="00875208">
        <w:rPr>
          <w:noProof/>
          <w:sz w:val="24"/>
          <w:szCs w:val="24"/>
        </w:rPr>
        <w:t>Leskovac, Bojnik, Vlasotince, Lebane, Medveđa and Crna Trava in the Jablanica District</w:t>
      </w:r>
    </w:p>
    <w:p w:rsidR="00360EC0" w:rsidRPr="00875208" w:rsidRDefault="00360EC0" w:rsidP="00904785">
      <w:pPr>
        <w:widowControl w:val="0"/>
        <w:numPr>
          <w:ilvl w:val="0"/>
          <w:numId w:val="20"/>
        </w:numPr>
        <w:spacing w:after="0"/>
        <w:rPr>
          <w:noProof/>
          <w:sz w:val="24"/>
          <w:szCs w:val="24"/>
        </w:rPr>
      </w:pPr>
      <w:r w:rsidRPr="00875208">
        <w:rPr>
          <w:noProof/>
          <w:sz w:val="24"/>
          <w:szCs w:val="24"/>
        </w:rPr>
        <w:t>Vranje, Bosilegrad, Bujanovac, Vladičin Han, Preševo, Surdulica and Trgovište in the Pčinja District</w:t>
      </w:r>
    </w:p>
    <w:p w:rsidR="00360EC0" w:rsidRPr="00875208" w:rsidRDefault="00360EC0" w:rsidP="00904785">
      <w:pPr>
        <w:widowControl w:val="0"/>
        <w:numPr>
          <w:ilvl w:val="0"/>
          <w:numId w:val="20"/>
        </w:numPr>
        <w:spacing w:after="0"/>
        <w:rPr>
          <w:noProof/>
          <w:sz w:val="24"/>
          <w:szCs w:val="24"/>
        </w:rPr>
      </w:pPr>
      <w:r w:rsidRPr="00875208">
        <w:rPr>
          <w:noProof/>
          <w:sz w:val="24"/>
          <w:szCs w:val="24"/>
        </w:rPr>
        <w:t>Brus in Rasinska District</w:t>
      </w:r>
    </w:p>
    <w:p w:rsidR="00360EC0" w:rsidRPr="00875208" w:rsidRDefault="00360EC0" w:rsidP="00904785">
      <w:pPr>
        <w:widowControl w:val="0"/>
        <w:numPr>
          <w:ilvl w:val="0"/>
          <w:numId w:val="20"/>
        </w:numPr>
        <w:spacing w:after="0"/>
        <w:rPr>
          <w:noProof/>
          <w:sz w:val="24"/>
          <w:szCs w:val="24"/>
        </w:rPr>
      </w:pPr>
      <w:r w:rsidRPr="00875208">
        <w:rPr>
          <w:noProof/>
          <w:sz w:val="24"/>
          <w:szCs w:val="24"/>
        </w:rPr>
        <w:t>Aleksinac, Gadžin Han, Doljevac, Merošina and Svrljig in Niški District</w:t>
      </w:r>
    </w:p>
    <w:p w:rsidR="00360EC0" w:rsidRPr="00875208" w:rsidRDefault="00360EC0" w:rsidP="00904785">
      <w:pPr>
        <w:widowControl w:val="0"/>
        <w:numPr>
          <w:ilvl w:val="0"/>
          <w:numId w:val="20"/>
        </w:numPr>
        <w:spacing w:after="0"/>
        <w:rPr>
          <w:noProof/>
          <w:sz w:val="24"/>
          <w:szCs w:val="24"/>
        </w:rPr>
      </w:pPr>
      <w:r w:rsidRPr="00875208">
        <w:rPr>
          <w:noProof/>
          <w:sz w:val="24"/>
          <w:szCs w:val="24"/>
        </w:rPr>
        <w:t>Babušnica, Bela Palanka in Pirotski District</w:t>
      </w:r>
    </w:p>
    <w:p w:rsidR="00360EC0" w:rsidRPr="00875208" w:rsidRDefault="00360EC0" w:rsidP="00904785">
      <w:pPr>
        <w:widowControl w:val="0"/>
        <w:numPr>
          <w:ilvl w:val="0"/>
          <w:numId w:val="20"/>
        </w:numPr>
        <w:spacing w:after="0"/>
        <w:rPr>
          <w:noProof/>
          <w:sz w:val="24"/>
          <w:szCs w:val="24"/>
        </w:rPr>
      </w:pPr>
      <w:r w:rsidRPr="00875208">
        <w:rPr>
          <w:noProof/>
          <w:sz w:val="24"/>
          <w:szCs w:val="24"/>
        </w:rPr>
        <w:t>Knjaževac in Zaječarski District.</w:t>
      </w:r>
    </w:p>
    <w:p w:rsidR="00360EC0" w:rsidRPr="00875208" w:rsidRDefault="00360EC0" w:rsidP="00360EC0">
      <w:pPr>
        <w:rPr>
          <w:noProof/>
          <w:sz w:val="24"/>
          <w:szCs w:val="24"/>
        </w:rPr>
      </w:pPr>
    </w:p>
    <w:p w:rsidR="00C607B9" w:rsidRPr="00655373" w:rsidRDefault="00360EC0" w:rsidP="00655373">
      <w:pPr>
        <w:rPr>
          <w:sz w:val="24"/>
          <w:szCs w:val="24"/>
        </w:rPr>
      </w:pPr>
      <w:r w:rsidRPr="00875208">
        <w:rPr>
          <w:sz w:val="24"/>
          <w:szCs w:val="24"/>
        </w:rPr>
        <w:t>Other beneficiaries include municipality-founded institutions and public utility companies, civil society organisations (CSO) and media in the participating municipalities. It is the inhabitants of the South East and South West Serbia who will feel the biggest benefits of the Programme.</w:t>
      </w:r>
      <w:r w:rsidR="00C607B9" w:rsidRPr="00875208">
        <w:rPr>
          <w:sz w:val="24"/>
          <w:szCs w:val="24"/>
        </w:rPr>
        <w:t xml:space="preserve">This Programme will have direct effect on beneficiary municipalities in a variety of sectors: good governance as cross-cutting and with specific result activities, education, employment, infrastructure and economic development. </w:t>
      </w:r>
      <w:r w:rsidR="00C607B9" w:rsidRPr="00655373">
        <w:rPr>
          <w:sz w:val="24"/>
          <w:szCs w:val="24"/>
        </w:rPr>
        <w:t>New and improved economic infrastructure will enable creation of jobs and promote sustainable economic development. An emphasis on inter-municipal projects, in particular the common economic development exercises, will enhance mutual cooperation and trust between ethnic groups and factions.</w:t>
      </w:r>
    </w:p>
    <w:p w:rsidR="00AD3323" w:rsidRPr="00655373" w:rsidRDefault="00C607B9" w:rsidP="00655373">
      <w:pPr>
        <w:rPr>
          <w:sz w:val="24"/>
          <w:szCs w:val="24"/>
        </w:rPr>
      </w:pPr>
      <w:r w:rsidRPr="00655373">
        <w:rPr>
          <w:sz w:val="24"/>
          <w:szCs w:val="24"/>
        </w:rPr>
        <w:t xml:space="preserve">The Programme will </w:t>
      </w:r>
      <w:r w:rsidRPr="00875208">
        <w:rPr>
          <w:sz w:val="24"/>
          <w:szCs w:val="24"/>
        </w:rPr>
        <w:t>contribute to strengthened competitiveness of participating areas, making them more attractive to foreign and domestic investment and less prone to deterring factors. It should thereby serve to help reduce the widening disparities between regions in the country, improving cohesion and stability on the national level. The reduction of unemployment will also help enhance intra-regional social cohesion and promote stability locally.</w:t>
      </w:r>
    </w:p>
    <w:p w:rsidR="00C607B9" w:rsidRPr="00875208" w:rsidRDefault="00C607B9" w:rsidP="00655373">
      <w:pPr>
        <w:rPr>
          <w:sz w:val="24"/>
          <w:szCs w:val="24"/>
        </w:rPr>
      </w:pPr>
      <w:r w:rsidRPr="00875208">
        <w:rPr>
          <w:sz w:val="24"/>
          <w:szCs w:val="24"/>
        </w:rPr>
        <w:t>Attention to employment that takes into account equal opportunities for men and women, and keeps environmental concerns in mind can help build awareness of the regions’ unique characteristics and potential for tourism. This is not only a prospective growth industry, but can assist in forming a more positive regional identity that can inspire youths to remain and develop their regions rather than seek their careers in other regions or countries.</w:t>
      </w:r>
    </w:p>
    <w:p w:rsidR="00F95FF8" w:rsidRDefault="00C607B9" w:rsidP="00E54E94">
      <w:pPr>
        <w:rPr>
          <w:sz w:val="24"/>
          <w:szCs w:val="24"/>
        </w:rPr>
      </w:pPr>
      <w:r w:rsidRPr="00875208">
        <w:rPr>
          <w:sz w:val="24"/>
          <w:szCs w:val="24"/>
        </w:rPr>
        <w:t xml:space="preserve">The Programme will work </w:t>
      </w:r>
      <w:r w:rsidRPr="00013FDD">
        <w:rPr>
          <w:b/>
          <w:sz w:val="24"/>
          <w:szCs w:val="24"/>
        </w:rPr>
        <w:t>Horizontal dimension of good governance</w:t>
      </w:r>
      <w:r w:rsidRPr="00875208">
        <w:rPr>
          <w:sz w:val="24"/>
          <w:szCs w:val="24"/>
        </w:rPr>
        <w:t xml:space="preserve"> by providing specific support to the local self-governments endeavouring to improve their organisational structures which would internally enhance concrete application of the five good governance principles</w:t>
      </w:r>
      <w:r w:rsidR="00013FDD">
        <w:rPr>
          <w:rStyle w:val="FootnoteReference"/>
          <w:szCs w:val="24"/>
        </w:rPr>
        <w:footnoteReference w:id="2"/>
      </w:r>
      <w:r w:rsidRPr="00875208">
        <w:rPr>
          <w:sz w:val="24"/>
          <w:szCs w:val="24"/>
        </w:rPr>
        <w:t>, thus making the public sector in a municipality, including local administration, more accountable, transparent and efficient in providing services to the citizens. This will start with the Programme providing support to municipalities in assessing and identifying governance issues that need to be addressed at the local level, and subsequently in development and/or improvement of new/existing local policies or regulations that will be in the l</w:t>
      </w:r>
      <w:r w:rsidR="00E54E94">
        <w:rPr>
          <w:sz w:val="24"/>
          <w:szCs w:val="24"/>
        </w:rPr>
        <w:t>ine with the overall objective.</w:t>
      </w:r>
    </w:p>
    <w:p w:rsidR="00E54E94" w:rsidRPr="00875208" w:rsidRDefault="00E54E94" w:rsidP="00E54E94">
      <w:pPr>
        <w:rPr>
          <w:sz w:val="24"/>
          <w:szCs w:val="24"/>
        </w:rPr>
      </w:pPr>
    </w:p>
    <w:p w:rsidR="00F95FF8" w:rsidRPr="00875208" w:rsidRDefault="00F95FF8" w:rsidP="00F95FF8">
      <w:pPr>
        <w:pStyle w:val="Heading2"/>
        <w:keepLines w:val="0"/>
        <w:tabs>
          <w:tab w:val="clear" w:pos="283"/>
        </w:tabs>
        <w:spacing w:after="0" w:line="276" w:lineRule="auto"/>
        <w:jc w:val="left"/>
        <w:rPr>
          <w:sz w:val="24"/>
          <w:szCs w:val="24"/>
        </w:rPr>
      </w:pPr>
      <w:bookmarkStart w:id="2" w:name="_Toc252268016"/>
      <w:bookmarkStart w:id="3" w:name="_Toc209673415"/>
      <w:bookmarkStart w:id="4" w:name="_Toc233854836"/>
      <w:bookmarkStart w:id="5" w:name="_Toc255806872"/>
      <w:r w:rsidRPr="00875208">
        <w:rPr>
          <w:sz w:val="24"/>
          <w:szCs w:val="24"/>
        </w:rPr>
        <w:lastRenderedPageBreak/>
        <w:t>Features of the Sector</w:t>
      </w:r>
      <w:bookmarkEnd w:id="2"/>
      <w:bookmarkEnd w:id="3"/>
      <w:bookmarkEnd w:id="4"/>
      <w:bookmarkEnd w:id="5"/>
    </w:p>
    <w:p w:rsidR="00D93F12" w:rsidRPr="00875208" w:rsidRDefault="00D93F12" w:rsidP="00D93F12">
      <w:pPr>
        <w:pStyle w:val="Heading2"/>
        <w:keepLines w:val="0"/>
        <w:tabs>
          <w:tab w:val="clear" w:pos="283"/>
        </w:tabs>
        <w:spacing w:after="0" w:line="276" w:lineRule="auto"/>
        <w:jc w:val="left"/>
        <w:rPr>
          <w:sz w:val="24"/>
          <w:szCs w:val="24"/>
        </w:rPr>
      </w:pPr>
    </w:p>
    <w:p w:rsidR="00F95FF8" w:rsidRPr="00875208" w:rsidRDefault="00F95FF8" w:rsidP="00655373">
      <w:pPr>
        <w:rPr>
          <w:sz w:val="24"/>
          <w:szCs w:val="24"/>
        </w:rPr>
      </w:pPr>
      <w:r w:rsidRPr="00655373">
        <w:rPr>
          <w:sz w:val="24"/>
          <w:szCs w:val="24"/>
        </w:rPr>
        <w:t>Regional disparities</w:t>
      </w:r>
      <w:r w:rsidRPr="00875208">
        <w:rPr>
          <w:sz w:val="24"/>
          <w:szCs w:val="24"/>
        </w:rPr>
        <w:t xml:space="preserve"> in the Republic of Serbia are among the highest in Europe. While Belgrade is currently enjoying the Gross Domestic Product (GDP) per capita of almost 180% of the national average and generates the largest share of GDP, the Southern and Eastern Serbia region stand on 63% of national average and contribute to GDP with less than 15%. According to the </w:t>
      </w:r>
      <w:r w:rsidRPr="00655373">
        <w:rPr>
          <w:sz w:val="24"/>
          <w:szCs w:val="24"/>
        </w:rPr>
        <w:t>Regulation on the Single List of Development of</w:t>
      </w:r>
      <w:r w:rsidRPr="00875208">
        <w:rPr>
          <w:sz w:val="24"/>
          <w:szCs w:val="24"/>
        </w:rPr>
        <w:t xml:space="preserve"> regions and local self-governments for 2013 (</w:t>
      </w:r>
      <w:r w:rsidRPr="00655373">
        <w:rPr>
          <w:sz w:val="24"/>
          <w:szCs w:val="24"/>
        </w:rPr>
        <w:t>Official Gazette of the Republic of Serbia</w:t>
      </w:r>
      <w:r w:rsidRPr="00875208">
        <w:rPr>
          <w:sz w:val="24"/>
          <w:szCs w:val="24"/>
        </w:rPr>
        <w:t xml:space="preserve"> No. 107/2012), adopted by the Government of the Republic of Serbia in November 2012, 46 of 150 municipalities are extremely underdeveloped (development level less than 60% of the national average), with 23 classified as devastated (development levels lower than 50% of the national average). </w:t>
      </w:r>
    </w:p>
    <w:p w:rsidR="00F95FF8" w:rsidRPr="00875208" w:rsidRDefault="00F95FF8" w:rsidP="00655373">
      <w:pPr>
        <w:rPr>
          <w:sz w:val="24"/>
          <w:szCs w:val="24"/>
        </w:rPr>
      </w:pPr>
      <w:r w:rsidRPr="00875208">
        <w:rPr>
          <w:sz w:val="24"/>
          <w:szCs w:val="24"/>
        </w:rPr>
        <w:t>The largest concentration of the extremely underdeveloped municipalities is in the South East and South West Serbia, where 29 municipalities belong to the group of 46 extremely underdeveloped. Other five municipalities participating in the Programme are closely connected geographically and are from the third group development level (less than 80% of the national average), sharing similar economic and social problems as well as communication and utility infrastructure needs</w:t>
      </w:r>
      <w:r w:rsidR="003D1261">
        <w:rPr>
          <w:rStyle w:val="FootnoteReference"/>
          <w:szCs w:val="24"/>
        </w:rPr>
        <w:footnoteReference w:id="3"/>
      </w:r>
      <w:r w:rsidRPr="00875208">
        <w:rPr>
          <w:sz w:val="24"/>
          <w:szCs w:val="24"/>
        </w:rPr>
        <w:t>.</w:t>
      </w:r>
    </w:p>
    <w:p w:rsidR="00F95FF8" w:rsidRPr="00875208" w:rsidRDefault="00F95FF8" w:rsidP="00655373">
      <w:pPr>
        <w:rPr>
          <w:sz w:val="24"/>
          <w:szCs w:val="24"/>
        </w:rPr>
      </w:pPr>
      <w:r w:rsidRPr="00875208">
        <w:rPr>
          <w:sz w:val="24"/>
          <w:szCs w:val="24"/>
        </w:rPr>
        <w:t xml:space="preserve">Opportunities for any wide and sustainable economic growth in these underdeveloped municipalities are severely hampered by </w:t>
      </w:r>
      <w:r w:rsidRPr="00655373">
        <w:rPr>
          <w:sz w:val="24"/>
          <w:szCs w:val="24"/>
        </w:rPr>
        <w:t>stagnant and opaque local regulations, depleted and inadequate capacities of local administrations and their officials, obsolete and/or run-down infrastructure</w:t>
      </w:r>
      <w:r w:rsidRPr="00875208">
        <w:rPr>
          <w:sz w:val="24"/>
          <w:szCs w:val="24"/>
        </w:rPr>
        <w:t xml:space="preserve">, </w:t>
      </w:r>
      <w:r w:rsidRPr="00655373">
        <w:rPr>
          <w:sz w:val="24"/>
          <w:szCs w:val="24"/>
        </w:rPr>
        <w:t>lowered levels of education and other investments in human capital</w:t>
      </w:r>
      <w:r w:rsidRPr="00875208">
        <w:rPr>
          <w:sz w:val="24"/>
          <w:szCs w:val="24"/>
        </w:rPr>
        <w:t xml:space="preserve">, </w:t>
      </w:r>
      <w:r w:rsidRPr="00655373">
        <w:rPr>
          <w:sz w:val="24"/>
          <w:szCs w:val="24"/>
        </w:rPr>
        <w:t xml:space="preserve">which all result in unfavourable business environment. </w:t>
      </w:r>
      <w:r w:rsidRPr="00875208">
        <w:rPr>
          <w:sz w:val="24"/>
          <w:szCs w:val="24"/>
        </w:rPr>
        <w:t xml:space="preserve">In turn this influences the ability to attract new direct foreign and domestic investments. These obstacles are underpinned by other elements of poor governance practices resulting in general inability to implement national reforms at the local level. </w:t>
      </w:r>
    </w:p>
    <w:p w:rsidR="00F95FF8" w:rsidRPr="00875208" w:rsidRDefault="00F95FF8" w:rsidP="00655373">
      <w:pPr>
        <w:rPr>
          <w:sz w:val="24"/>
          <w:szCs w:val="24"/>
        </w:rPr>
      </w:pPr>
      <w:r w:rsidRPr="00875208">
        <w:rPr>
          <w:sz w:val="24"/>
          <w:szCs w:val="24"/>
        </w:rPr>
        <w:t xml:space="preserve">A common feature of all local </w:t>
      </w:r>
      <w:r w:rsidR="00AE17F0" w:rsidRPr="00875208">
        <w:rPr>
          <w:sz w:val="24"/>
          <w:szCs w:val="24"/>
        </w:rPr>
        <w:t>self-governments</w:t>
      </w:r>
      <w:r w:rsidRPr="00875208">
        <w:rPr>
          <w:sz w:val="24"/>
          <w:szCs w:val="24"/>
        </w:rPr>
        <w:t xml:space="preserve"> (LSGs) is that they are not well prepared to implement complex activities related to </w:t>
      </w:r>
      <w:r w:rsidRPr="00655373">
        <w:rPr>
          <w:sz w:val="24"/>
          <w:szCs w:val="24"/>
        </w:rPr>
        <w:t>municipal planning</w:t>
      </w:r>
      <w:r w:rsidRPr="00875208">
        <w:rPr>
          <w:sz w:val="24"/>
          <w:szCs w:val="24"/>
        </w:rPr>
        <w:t xml:space="preserve"> and economic development. The infrastructure projects are chosen on ad hoc basis, without proper planning or impact assessment. The key preconditions for strategic planning: planning documentation, planning of investments, and resolved land ownership - are missing. The budgets are still prepared annually despite the fact that the legislation envisages process that takes into account three-year investment needs. The failure to update the land registers over decades led to huge discrepancies between the land registers and the land cadastre, resulting in additional obstacles in infrastructure development. </w:t>
      </w:r>
    </w:p>
    <w:p w:rsidR="00F95FF8" w:rsidRPr="00875208" w:rsidRDefault="00F95FF8" w:rsidP="00655373">
      <w:pPr>
        <w:rPr>
          <w:sz w:val="24"/>
          <w:szCs w:val="24"/>
        </w:rPr>
      </w:pPr>
      <w:r w:rsidRPr="00655373">
        <w:rPr>
          <w:sz w:val="24"/>
          <w:szCs w:val="24"/>
        </w:rPr>
        <w:t>The speed of economic development is closely connected with the amount of direct domestic and foreign investments. T</w:t>
      </w:r>
      <w:r w:rsidRPr="00875208">
        <w:rPr>
          <w:sz w:val="24"/>
          <w:szCs w:val="24"/>
        </w:rPr>
        <w:t xml:space="preserve">he investment decisions of companies/investors are mainly influenced by the existing business opportunities and ease of doing business. </w:t>
      </w:r>
      <w:r w:rsidRPr="00655373">
        <w:rPr>
          <w:sz w:val="24"/>
          <w:szCs w:val="24"/>
        </w:rPr>
        <w:t>The obsolete and</w:t>
      </w:r>
      <w:r w:rsidRPr="00875208">
        <w:rPr>
          <w:sz w:val="24"/>
          <w:szCs w:val="24"/>
        </w:rPr>
        <w:t xml:space="preserve"> inadequate infrastructure, lack of project documentation and low potentials for promotion and attracting of investors, therefore hamper further development. The lack of project documentation is a consequence of poor design capacities and financial constraints preventing municipalities to entrust these tasks to the third parties. This has a discouraging effect on the financiers and very often prompts them to abandon investments. Introduction of capital investment plans, whereby selection of investment projects would be based on a long-term perspective, taking into account achievement of financial, social, environment benefits, would solve the issue.</w:t>
      </w:r>
    </w:p>
    <w:p w:rsidR="00F95FF8" w:rsidRPr="00875208" w:rsidRDefault="00F95FF8" w:rsidP="00655373">
      <w:pPr>
        <w:rPr>
          <w:sz w:val="24"/>
          <w:szCs w:val="24"/>
        </w:rPr>
      </w:pPr>
      <w:r w:rsidRPr="00875208">
        <w:rPr>
          <w:sz w:val="24"/>
          <w:szCs w:val="24"/>
        </w:rPr>
        <w:lastRenderedPageBreak/>
        <w:t>The 2014 World Bank’s report “Doing Business” puts Serbia on the 93</w:t>
      </w:r>
      <w:r w:rsidR="00D803A2" w:rsidRPr="00D803A2">
        <w:rPr>
          <w:sz w:val="24"/>
          <w:szCs w:val="24"/>
          <w:vertAlign w:val="superscript"/>
        </w:rPr>
        <w:t>rd</w:t>
      </w:r>
      <w:r w:rsidR="00D803A2">
        <w:rPr>
          <w:sz w:val="24"/>
          <w:szCs w:val="24"/>
        </w:rPr>
        <w:t xml:space="preserve"> </w:t>
      </w:r>
      <w:r w:rsidRPr="00875208">
        <w:rPr>
          <w:sz w:val="24"/>
          <w:szCs w:val="24"/>
        </w:rPr>
        <w:t>place (out of 189 economies) seven ranks lower than in the previous year</w:t>
      </w:r>
      <w:r w:rsidR="00427B6B">
        <w:rPr>
          <w:rStyle w:val="FootnoteReference"/>
          <w:szCs w:val="24"/>
        </w:rPr>
        <w:footnoteReference w:id="4"/>
      </w:r>
      <w:r w:rsidRPr="00875208">
        <w:rPr>
          <w:sz w:val="24"/>
          <w:szCs w:val="24"/>
        </w:rPr>
        <w:t xml:space="preserve">. Some sub-national indicators exist for five Serbian municipalities (Belgrade, Zrenjanin, Kruševac, Užice and Vranje) as pilot municipalities within Easy Doing Business in South East Europe 2011.  Serbia has also dropped on the World Economic Forum </w:t>
      </w:r>
      <w:r w:rsidRPr="00655373">
        <w:rPr>
          <w:sz w:val="24"/>
          <w:szCs w:val="24"/>
        </w:rPr>
        <w:t>competitiveness</w:t>
      </w:r>
      <w:r w:rsidRPr="00875208">
        <w:rPr>
          <w:sz w:val="24"/>
          <w:szCs w:val="24"/>
        </w:rPr>
        <w:t xml:space="preserve"> list and now holds 101 place (out of 148 countries), compared to last year’s 99</w:t>
      </w:r>
      <w:r w:rsidRPr="00655373">
        <w:rPr>
          <w:sz w:val="24"/>
          <w:szCs w:val="24"/>
        </w:rPr>
        <w:t>th</w:t>
      </w:r>
      <w:r w:rsidR="00294490">
        <w:rPr>
          <w:rStyle w:val="FootnoteReference"/>
          <w:szCs w:val="24"/>
        </w:rPr>
        <w:footnoteReference w:id="5"/>
      </w:r>
      <w:r w:rsidRPr="00875208">
        <w:rPr>
          <w:sz w:val="24"/>
          <w:szCs w:val="24"/>
        </w:rPr>
        <w:t>.</w:t>
      </w:r>
    </w:p>
    <w:p w:rsidR="00F95FF8" w:rsidRPr="00875208" w:rsidRDefault="00F95FF8" w:rsidP="00655373">
      <w:pPr>
        <w:rPr>
          <w:sz w:val="24"/>
          <w:szCs w:val="24"/>
        </w:rPr>
      </w:pPr>
      <w:r w:rsidRPr="00875208">
        <w:rPr>
          <w:sz w:val="24"/>
          <w:szCs w:val="24"/>
        </w:rPr>
        <w:t xml:space="preserve">Enterprises in the South East and South West Serbia have little potential for increasing competitiveness on their own. Participation of </w:t>
      </w:r>
      <w:r w:rsidRPr="00655373">
        <w:rPr>
          <w:sz w:val="24"/>
          <w:szCs w:val="24"/>
        </w:rPr>
        <w:t>small and medium enterprises</w:t>
      </w:r>
      <w:r w:rsidRPr="00875208">
        <w:rPr>
          <w:sz w:val="24"/>
          <w:szCs w:val="24"/>
        </w:rPr>
        <w:t xml:space="preserve"> (SMEs) from these areas in the total annual profit of SMEs in Serbia is ranging from 0.4% in Toplički District to 1% in Pčinjski District</w:t>
      </w:r>
      <w:r w:rsidR="00294490">
        <w:rPr>
          <w:rStyle w:val="FootnoteReference"/>
          <w:szCs w:val="24"/>
        </w:rPr>
        <w:footnoteReference w:id="6"/>
      </w:r>
      <w:r w:rsidRPr="00875208">
        <w:rPr>
          <w:sz w:val="24"/>
          <w:szCs w:val="24"/>
        </w:rPr>
        <w:t>. SMEs from the, South East and South West Serbia participate in the total export of Serbian SMEs just with an average 2.5% (Pčinjski 1.1%, Jablanički 1,2%, Toplički 0.4%, Raški 3.7%, Zlatiborski 4.4%)</w:t>
      </w:r>
      <w:r w:rsidR="00294490">
        <w:rPr>
          <w:rStyle w:val="FootnoteReference"/>
          <w:szCs w:val="24"/>
        </w:rPr>
        <w:footnoteReference w:id="7"/>
      </w:r>
      <w:r w:rsidRPr="00875208">
        <w:rPr>
          <w:sz w:val="24"/>
          <w:szCs w:val="24"/>
        </w:rPr>
        <w:t xml:space="preserve">. As for agricultural producers and processors, they don’t have sufficient knowledge of new technologies and market requirements and benefits of cooperation and agglomeration of production. </w:t>
      </w:r>
    </w:p>
    <w:p w:rsidR="00F95FF8" w:rsidRPr="00875208" w:rsidRDefault="00F95FF8" w:rsidP="00655373">
      <w:pPr>
        <w:rPr>
          <w:sz w:val="24"/>
          <w:szCs w:val="24"/>
        </w:rPr>
      </w:pPr>
      <w:r w:rsidRPr="00875208">
        <w:rPr>
          <w:sz w:val="24"/>
          <w:szCs w:val="24"/>
        </w:rPr>
        <w:t>The National Employment Strategy 2011-2020 recognises that women constitute the “largest category at risk in the Serbian labour market” and at the same time “the most heterogeneous vulnerable group”. The situation is especially difficult for women with lower levels of education, women younger than 24 and older than 50</w:t>
      </w:r>
      <w:r w:rsidR="00294490">
        <w:rPr>
          <w:rStyle w:val="FootnoteReference"/>
          <w:szCs w:val="24"/>
        </w:rPr>
        <w:footnoteReference w:id="8"/>
      </w:r>
      <w:r w:rsidRPr="00875208">
        <w:rPr>
          <w:sz w:val="24"/>
          <w:szCs w:val="24"/>
        </w:rPr>
        <w:t xml:space="preserve">, while Roma women are among the groups with the lowest employment rate in the society. </w:t>
      </w:r>
    </w:p>
    <w:p w:rsidR="00F95FF8" w:rsidRPr="00875208" w:rsidRDefault="00F95FF8" w:rsidP="00655373">
      <w:pPr>
        <w:rPr>
          <w:sz w:val="24"/>
          <w:szCs w:val="24"/>
        </w:rPr>
      </w:pPr>
      <w:r w:rsidRPr="00875208">
        <w:rPr>
          <w:sz w:val="24"/>
          <w:szCs w:val="24"/>
        </w:rPr>
        <w:t xml:space="preserve">There is a high </w:t>
      </w:r>
      <w:r w:rsidRPr="00655373">
        <w:rPr>
          <w:sz w:val="24"/>
          <w:szCs w:val="24"/>
        </w:rPr>
        <w:t>unemployment</w:t>
      </w:r>
      <w:r w:rsidRPr="00875208">
        <w:rPr>
          <w:sz w:val="24"/>
          <w:szCs w:val="24"/>
        </w:rPr>
        <w:t xml:space="preserve"> rate in the South East and South West Serbia, especially among young people, Roma and vulnerable groups. The most difficult situation is in Crna</w:t>
      </w:r>
      <w:r w:rsidR="00B95AB7">
        <w:rPr>
          <w:sz w:val="24"/>
          <w:szCs w:val="24"/>
        </w:rPr>
        <w:t xml:space="preserve"> </w:t>
      </w:r>
      <w:r w:rsidRPr="00875208">
        <w:rPr>
          <w:sz w:val="24"/>
          <w:szCs w:val="24"/>
        </w:rPr>
        <w:t>Trava, Trgovište and Lebane, where the number of employees dropped by 47% in comparison to 2002. The average employment in the South is 18%, which is by 6.3% less than the Republic’s average, while average unemployment in the region is 44.8%.</w:t>
      </w:r>
    </w:p>
    <w:p w:rsidR="00F95FF8" w:rsidRPr="00875208" w:rsidRDefault="00F95FF8" w:rsidP="00655373">
      <w:pPr>
        <w:rPr>
          <w:sz w:val="24"/>
          <w:szCs w:val="24"/>
        </w:rPr>
      </w:pPr>
      <w:r w:rsidRPr="00875208">
        <w:rPr>
          <w:sz w:val="24"/>
          <w:szCs w:val="24"/>
        </w:rPr>
        <w:t>On average more than 40% unemployed are without any qualifications (Raška District 44%, Jablanički District 32%, Pčinjski District 47.5%, Toplički District 40.5%</w:t>
      </w:r>
      <w:r w:rsidR="00294490">
        <w:rPr>
          <w:rStyle w:val="FootnoteReference"/>
          <w:szCs w:val="24"/>
        </w:rPr>
        <w:footnoteReference w:id="9"/>
      </w:r>
      <w:r w:rsidRPr="00875208">
        <w:rPr>
          <w:sz w:val="24"/>
          <w:szCs w:val="24"/>
        </w:rPr>
        <w:t>), only 6.5% of population are with college or university education and 32.7% with high school education. This is also one of serious obstacles to economic development especially having in mind the capacity of local self-governments to lead coordinated responses to social inclusion of vulnerable and marginalised groups and to promote new approaches to social service delivery in the community. The educational profile of the labour force does not correspond to the needs of the economy.</w:t>
      </w:r>
    </w:p>
    <w:p w:rsidR="00F95FF8" w:rsidRPr="00875208" w:rsidRDefault="00F95FF8" w:rsidP="00655373">
      <w:pPr>
        <w:rPr>
          <w:sz w:val="24"/>
          <w:szCs w:val="24"/>
        </w:rPr>
      </w:pPr>
      <w:r w:rsidRPr="00875208">
        <w:rPr>
          <w:sz w:val="24"/>
          <w:szCs w:val="24"/>
        </w:rPr>
        <w:t xml:space="preserve">The South Serbia is being depopulated swifter than any other region in the country, with 37 inhabitants leaving each day. Since the abolition of the visa regime in December 2009, more than </w:t>
      </w:r>
      <w:r w:rsidRPr="00875208">
        <w:rPr>
          <w:sz w:val="24"/>
          <w:szCs w:val="24"/>
        </w:rPr>
        <w:lastRenderedPageBreak/>
        <w:t>50,000 asylum requests have been filed in the EU countries</w:t>
      </w:r>
      <w:r w:rsidR="00294490">
        <w:rPr>
          <w:rStyle w:val="FootnoteReference"/>
          <w:szCs w:val="24"/>
        </w:rPr>
        <w:footnoteReference w:id="10"/>
      </w:r>
      <w:r w:rsidRPr="00875208">
        <w:rPr>
          <w:sz w:val="24"/>
          <w:szCs w:val="24"/>
        </w:rPr>
        <w:t>. Asylum seekers from Serbia were most numerous in Germany, Sweden and Belgium, while in the EU overall, they ranked third</w:t>
      </w:r>
      <w:r w:rsidR="00294490">
        <w:rPr>
          <w:rStyle w:val="FootnoteReference"/>
          <w:szCs w:val="24"/>
        </w:rPr>
        <w:footnoteReference w:id="11"/>
      </w:r>
      <w:r w:rsidRPr="00875208">
        <w:rPr>
          <w:sz w:val="24"/>
          <w:szCs w:val="24"/>
        </w:rPr>
        <w:t>. In January 2014, the European Union (EU) adopted a mechanism, which allows suspension of the visa free regime for countries that are seen as producing high numbers of false asylum seekers</w:t>
      </w:r>
      <w:r w:rsidR="00294490">
        <w:rPr>
          <w:rStyle w:val="FootnoteReference"/>
          <w:szCs w:val="24"/>
        </w:rPr>
        <w:footnoteReference w:id="12"/>
      </w:r>
      <w:r w:rsidRPr="00875208">
        <w:rPr>
          <w:sz w:val="24"/>
          <w:szCs w:val="24"/>
        </w:rPr>
        <w:t>. In order to contribute to efforts of the Serbian Government regarding reduction of asylum seekers from these parts of Serbia the Programme will develop and implement specific activities dealing with migration issues, both on the level of support to individual migrants and on the institutional level.</w:t>
      </w:r>
    </w:p>
    <w:p w:rsidR="003B19BE" w:rsidRPr="00875208" w:rsidRDefault="00F95FF8" w:rsidP="00655373">
      <w:pPr>
        <w:rPr>
          <w:sz w:val="24"/>
          <w:szCs w:val="24"/>
        </w:rPr>
      </w:pPr>
      <w:r w:rsidRPr="00875208">
        <w:rPr>
          <w:sz w:val="24"/>
          <w:szCs w:val="24"/>
        </w:rPr>
        <w:t xml:space="preserve">Finally, all current difficulties faced by the underdeveloped municipalities could be overcome by introducing principles of good governance in every day work. Accountability of municipalities towards citizens is especially weak due to non-existence of mechanisms by which citizens could oversee and control the functioning of local </w:t>
      </w:r>
      <w:r w:rsidR="00AE17F0" w:rsidRPr="00875208">
        <w:rPr>
          <w:sz w:val="24"/>
          <w:szCs w:val="24"/>
        </w:rPr>
        <w:t>self-governments</w:t>
      </w:r>
      <w:r w:rsidRPr="00875208">
        <w:rPr>
          <w:sz w:val="24"/>
          <w:szCs w:val="24"/>
        </w:rPr>
        <w:t>. And yet, this is the key principle to be adopted, re-introduced or reinforced: who in the system of local governance is accountable to whom, by which and whose regulations, procedures and oversight. This relates, among others, to the management of public resources, efficiency in service provision, equal opportunities for all, and participation in decision-making and effectually translates into local institutions and entities abiding to the rule of law.</w:t>
      </w:r>
    </w:p>
    <w:p w:rsidR="0007408E" w:rsidRPr="00875208" w:rsidRDefault="0007408E" w:rsidP="001D1E8B">
      <w:pPr>
        <w:pStyle w:val="Guidelines2"/>
      </w:pPr>
      <w:bookmarkStart w:id="6" w:name="_Toc384374696"/>
      <w:r w:rsidRPr="00875208">
        <w:t>Objectives of the programme and priority issues</w:t>
      </w:r>
      <w:bookmarkEnd w:id="6"/>
    </w:p>
    <w:p w:rsidR="00F14557" w:rsidRPr="00875208" w:rsidRDefault="00026D5B" w:rsidP="00F14557">
      <w:pPr>
        <w:rPr>
          <w:snapToGrid/>
          <w:sz w:val="24"/>
          <w:szCs w:val="24"/>
          <w:lang w:val="en-US"/>
        </w:rPr>
      </w:pPr>
      <w:r w:rsidRPr="00875208">
        <w:rPr>
          <w:sz w:val="24"/>
          <w:szCs w:val="24"/>
        </w:rPr>
        <w:t xml:space="preserve">The </w:t>
      </w:r>
      <w:r w:rsidRPr="00875208">
        <w:rPr>
          <w:b/>
          <w:sz w:val="24"/>
          <w:szCs w:val="24"/>
        </w:rPr>
        <w:t>global objective</w:t>
      </w:r>
      <w:r w:rsidR="007F0695" w:rsidRPr="00875208">
        <w:rPr>
          <w:sz w:val="24"/>
          <w:szCs w:val="24"/>
        </w:rPr>
        <w:t xml:space="preserve"> of this Call for Proposals is </w:t>
      </w:r>
      <w:r w:rsidR="00F14557" w:rsidRPr="00875208">
        <w:rPr>
          <w:snapToGrid/>
          <w:sz w:val="24"/>
          <w:szCs w:val="24"/>
          <w:lang w:val="en-US"/>
        </w:rPr>
        <w:t xml:space="preserve">to contribute to sustainable development of underdeveloped areas of Serbia by creating more </w:t>
      </w:r>
      <w:r w:rsidR="007F0695" w:rsidRPr="00875208">
        <w:rPr>
          <w:snapToGrid/>
          <w:sz w:val="24"/>
          <w:szCs w:val="24"/>
          <w:lang w:val="en-US"/>
        </w:rPr>
        <w:t>favorable</w:t>
      </w:r>
      <w:r w:rsidR="00F14557" w:rsidRPr="00875208">
        <w:rPr>
          <w:snapToGrid/>
          <w:sz w:val="24"/>
          <w:szCs w:val="24"/>
          <w:lang w:val="en-US"/>
        </w:rPr>
        <w:t xml:space="preserve"> environment for business and infrastructure growth, thus increasing employability and social inclusion. </w:t>
      </w:r>
    </w:p>
    <w:p w:rsidR="00C27CF9" w:rsidRDefault="00026D5B" w:rsidP="00C27CF9">
      <w:pPr>
        <w:rPr>
          <w:snapToGrid/>
          <w:sz w:val="24"/>
          <w:szCs w:val="24"/>
          <w:lang w:val="en-US"/>
        </w:rPr>
      </w:pPr>
      <w:r w:rsidRPr="00875208">
        <w:rPr>
          <w:sz w:val="24"/>
          <w:szCs w:val="24"/>
        </w:rPr>
        <w:t xml:space="preserve">The </w:t>
      </w:r>
      <w:r w:rsidRPr="00875208">
        <w:rPr>
          <w:b/>
          <w:sz w:val="24"/>
          <w:szCs w:val="24"/>
        </w:rPr>
        <w:t>specific objective</w:t>
      </w:r>
      <w:r w:rsidR="00C27CF9">
        <w:rPr>
          <w:b/>
          <w:sz w:val="24"/>
          <w:szCs w:val="24"/>
        </w:rPr>
        <w:t xml:space="preserve"> </w:t>
      </w:r>
      <w:r w:rsidRPr="00875208">
        <w:rPr>
          <w:sz w:val="24"/>
          <w:szCs w:val="24"/>
        </w:rPr>
        <w:t xml:space="preserve">of this Call for Proposals </w:t>
      </w:r>
      <w:r w:rsidR="00F42CD1">
        <w:rPr>
          <w:sz w:val="24"/>
          <w:szCs w:val="24"/>
        </w:rPr>
        <w:t>is</w:t>
      </w:r>
      <w:r w:rsidR="00F42CD1" w:rsidRPr="00875208">
        <w:rPr>
          <w:sz w:val="24"/>
          <w:szCs w:val="24"/>
        </w:rPr>
        <w:t xml:space="preserve"> </w:t>
      </w:r>
      <w:r w:rsidR="00F14557" w:rsidRPr="00875208">
        <w:rPr>
          <w:snapToGrid/>
          <w:sz w:val="24"/>
          <w:szCs w:val="24"/>
          <w:lang w:val="en-US"/>
        </w:rPr>
        <w:t>to improve</w:t>
      </w:r>
      <w:r w:rsidR="00F42CD1">
        <w:rPr>
          <w:snapToGrid/>
          <w:sz w:val="24"/>
          <w:szCs w:val="24"/>
          <w:lang w:val="en-US"/>
        </w:rPr>
        <w:t xml:space="preserve"> local infrastructure facilities in target municipalities. The activities will cover </w:t>
      </w:r>
      <w:r w:rsidR="00146818">
        <w:rPr>
          <w:snapToGrid/>
          <w:sz w:val="24"/>
          <w:szCs w:val="24"/>
          <w:lang w:val="en-US"/>
        </w:rPr>
        <w:t>improvement of living conditions</w:t>
      </w:r>
      <w:r w:rsidR="00F42CD1">
        <w:rPr>
          <w:snapToGrid/>
          <w:sz w:val="24"/>
          <w:szCs w:val="24"/>
          <w:lang w:val="en-US"/>
        </w:rPr>
        <w:t xml:space="preserve"> and economic infrastructure</w:t>
      </w:r>
      <w:bookmarkStart w:id="7" w:name="_Toc384374697"/>
      <w:r w:rsidR="00C27CF9">
        <w:rPr>
          <w:snapToGrid/>
          <w:sz w:val="24"/>
          <w:szCs w:val="24"/>
          <w:lang w:val="en-US"/>
        </w:rPr>
        <w:t>.</w:t>
      </w:r>
    </w:p>
    <w:p w:rsidR="00472B36" w:rsidRPr="001778E4" w:rsidRDefault="00472B36" w:rsidP="00C27CF9">
      <w:pPr>
        <w:rPr>
          <w:sz w:val="24"/>
          <w:szCs w:val="24"/>
        </w:rPr>
      </w:pPr>
      <w:r>
        <w:rPr>
          <w:snapToGrid/>
          <w:sz w:val="24"/>
          <w:szCs w:val="24"/>
          <w:lang w:val="en-US"/>
        </w:rPr>
        <w:t xml:space="preserve">The </w:t>
      </w:r>
      <w:r w:rsidRPr="00370984">
        <w:rPr>
          <w:snapToGrid/>
          <w:sz w:val="24"/>
          <w:szCs w:val="24"/>
          <w:lang w:val="en-US"/>
        </w:rPr>
        <w:t>priorities</w:t>
      </w:r>
      <w:r w:rsidRPr="00875208">
        <w:rPr>
          <w:b/>
          <w:snapToGrid/>
          <w:sz w:val="24"/>
          <w:szCs w:val="24"/>
          <w:lang w:val="en-US"/>
        </w:rPr>
        <w:t xml:space="preserve"> </w:t>
      </w:r>
      <w:r w:rsidRPr="00875208">
        <w:rPr>
          <w:snapToGrid/>
          <w:sz w:val="24"/>
          <w:szCs w:val="24"/>
          <w:lang w:val="en-US"/>
        </w:rPr>
        <w:t>have been identified</w:t>
      </w:r>
      <w:r>
        <w:rPr>
          <w:snapToGrid/>
          <w:sz w:val="24"/>
          <w:szCs w:val="24"/>
          <w:lang w:val="en-US"/>
        </w:rPr>
        <w:t xml:space="preserve"> b</w:t>
      </w:r>
      <w:r w:rsidRPr="00875208">
        <w:rPr>
          <w:snapToGrid/>
          <w:sz w:val="24"/>
          <w:szCs w:val="24"/>
          <w:lang w:val="en-US"/>
        </w:rPr>
        <w:t xml:space="preserve">ased on the main strategic documents for the </w:t>
      </w:r>
      <w:r w:rsidRPr="00370984">
        <w:rPr>
          <w:b/>
          <w:snapToGrid/>
          <w:sz w:val="24"/>
          <w:szCs w:val="24"/>
          <w:lang w:val="en-US"/>
        </w:rPr>
        <w:t>Competitiveness sector</w:t>
      </w:r>
      <w:r w:rsidRPr="00875208">
        <w:rPr>
          <w:snapToGrid/>
          <w:sz w:val="24"/>
          <w:szCs w:val="24"/>
          <w:lang w:val="en-US"/>
        </w:rPr>
        <w:t>, which are presented in National priorities for international assistance (NAD) 2014-2017 with projections until 2020</w:t>
      </w:r>
      <w:r>
        <w:rPr>
          <w:snapToGrid/>
          <w:sz w:val="24"/>
          <w:szCs w:val="24"/>
          <w:lang w:val="en-US"/>
        </w:rPr>
        <w:t>.</w:t>
      </w:r>
      <w:r w:rsidRPr="00875208">
        <w:rPr>
          <w:snapToGrid/>
          <w:sz w:val="24"/>
          <w:szCs w:val="24"/>
          <w:lang w:val="en-US"/>
        </w:rPr>
        <w:t xml:space="preserve"> </w:t>
      </w:r>
      <w:r w:rsidRPr="009E1D91">
        <w:rPr>
          <w:snapToGrid/>
          <w:sz w:val="24"/>
          <w:szCs w:val="24"/>
          <w:lang w:val="en-US"/>
        </w:rPr>
        <w:t xml:space="preserve">Namely, </w:t>
      </w:r>
      <w:r w:rsidRPr="00370984">
        <w:rPr>
          <w:b/>
          <w:i/>
          <w:snapToGrid/>
          <w:sz w:val="24"/>
          <w:szCs w:val="24"/>
          <w:lang w:val="en-US"/>
        </w:rPr>
        <w:t>dynamic and stable economic growth based on increase in investments.</w:t>
      </w:r>
      <w:r w:rsidR="001778E4" w:rsidRPr="001778E4">
        <w:t xml:space="preserve"> </w:t>
      </w:r>
      <w:r w:rsidR="001778E4" w:rsidRPr="001778E4">
        <w:rPr>
          <w:sz w:val="24"/>
          <w:szCs w:val="24"/>
        </w:rPr>
        <w:t>Economic growth and increase in competitiveness of the economy represent a realistic basis for increase in employment and living standard of the population.</w:t>
      </w:r>
    </w:p>
    <w:p w:rsidR="001D1E8B" w:rsidRPr="00807DAF" w:rsidRDefault="001D1E8B" w:rsidP="001D1E8B">
      <w:pPr>
        <w:pStyle w:val="Guidelines2"/>
      </w:pPr>
      <w:r w:rsidRPr="00807DAF">
        <w:t>Financial allocation provided by the contracting authority</w:t>
      </w:r>
    </w:p>
    <w:bookmarkEnd w:id="7"/>
    <w:p w:rsidR="007F0695" w:rsidRPr="00875208" w:rsidRDefault="0007408E" w:rsidP="00BD6FF1">
      <w:pPr>
        <w:rPr>
          <w:b/>
          <w:sz w:val="24"/>
          <w:szCs w:val="24"/>
        </w:rPr>
      </w:pPr>
      <w:r w:rsidRPr="00875208">
        <w:rPr>
          <w:sz w:val="24"/>
          <w:szCs w:val="24"/>
        </w:rPr>
        <w:t xml:space="preserve">The overall indicative amount made available under this </w:t>
      </w:r>
      <w:r w:rsidR="001D0C7B" w:rsidRPr="00875208">
        <w:rPr>
          <w:sz w:val="24"/>
          <w:szCs w:val="24"/>
        </w:rPr>
        <w:t>Call for Proposals</w:t>
      </w:r>
      <w:r w:rsidRPr="00875208">
        <w:rPr>
          <w:sz w:val="24"/>
          <w:szCs w:val="24"/>
        </w:rPr>
        <w:t xml:space="preserve"> is </w:t>
      </w:r>
      <w:r w:rsidR="0006470D" w:rsidRPr="00875208">
        <w:rPr>
          <w:b/>
          <w:sz w:val="24"/>
          <w:szCs w:val="24"/>
        </w:rPr>
        <w:t>EUR</w:t>
      </w:r>
      <w:r w:rsidR="00C27CF9">
        <w:rPr>
          <w:b/>
          <w:sz w:val="24"/>
          <w:szCs w:val="24"/>
        </w:rPr>
        <w:t xml:space="preserve"> </w:t>
      </w:r>
      <w:r w:rsidR="00F14557" w:rsidRPr="00875208">
        <w:rPr>
          <w:b/>
          <w:sz w:val="24"/>
          <w:szCs w:val="24"/>
        </w:rPr>
        <w:t>3.</w:t>
      </w:r>
      <w:r w:rsidR="00067FD9" w:rsidRPr="00875208">
        <w:rPr>
          <w:b/>
          <w:sz w:val="24"/>
          <w:szCs w:val="24"/>
        </w:rPr>
        <w:t>5</w:t>
      </w:r>
      <w:r w:rsidR="007D4AEE" w:rsidRPr="00875208">
        <w:rPr>
          <w:b/>
          <w:sz w:val="24"/>
          <w:szCs w:val="24"/>
        </w:rPr>
        <w:t>0</w:t>
      </w:r>
      <w:r w:rsidR="00F14557" w:rsidRPr="00875208">
        <w:rPr>
          <w:b/>
          <w:sz w:val="24"/>
          <w:szCs w:val="24"/>
        </w:rPr>
        <w:t>0.000</w:t>
      </w:r>
      <w:r w:rsidR="007F0695" w:rsidRPr="00875208">
        <w:rPr>
          <w:b/>
          <w:sz w:val="24"/>
          <w:szCs w:val="24"/>
        </w:rPr>
        <w:t>.</w:t>
      </w:r>
    </w:p>
    <w:p w:rsidR="0007408E" w:rsidRPr="00875208" w:rsidRDefault="0007408E" w:rsidP="00BD6FF1">
      <w:pPr>
        <w:rPr>
          <w:sz w:val="24"/>
          <w:szCs w:val="24"/>
        </w:rPr>
      </w:pPr>
      <w:r w:rsidRPr="00875208">
        <w:rPr>
          <w:sz w:val="24"/>
          <w:szCs w:val="24"/>
        </w:rPr>
        <w:t xml:space="preserve">The </w:t>
      </w:r>
      <w:r w:rsidR="002E4196" w:rsidRPr="00875208">
        <w:rPr>
          <w:sz w:val="24"/>
          <w:szCs w:val="24"/>
        </w:rPr>
        <w:t>C</w:t>
      </w:r>
      <w:r w:rsidRPr="00875208">
        <w:rPr>
          <w:sz w:val="24"/>
          <w:szCs w:val="24"/>
        </w:rPr>
        <w:t xml:space="preserve">ontracting </w:t>
      </w:r>
      <w:r w:rsidR="002E4196" w:rsidRPr="00875208">
        <w:rPr>
          <w:sz w:val="24"/>
          <w:szCs w:val="24"/>
        </w:rPr>
        <w:t>A</w:t>
      </w:r>
      <w:r w:rsidRPr="00875208">
        <w:rPr>
          <w:sz w:val="24"/>
          <w:szCs w:val="24"/>
        </w:rPr>
        <w:t>uthority reserves the right not to award all available funds.</w:t>
      </w:r>
    </w:p>
    <w:p w:rsidR="00942C65" w:rsidRDefault="00942C65" w:rsidP="00BD6FF1">
      <w:pPr>
        <w:rPr>
          <w:b/>
          <w:sz w:val="24"/>
          <w:szCs w:val="24"/>
        </w:rPr>
      </w:pPr>
    </w:p>
    <w:p w:rsidR="00942C65" w:rsidRDefault="00942C65" w:rsidP="00BD6FF1">
      <w:pPr>
        <w:rPr>
          <w:b/>
          <w:sz w:val="24"/>
          <w:szCs w:val="24"/>
        </w:rPr>
      </w:pPr>
    </w:p>
    <w:p w:rsidR="00607F60" w:rsidRPr="00875208" w:rsidRDefault="00062A91" w:rsidP="00BD6FF1">
      <w:pPr>
        <w:rPr>
          <w:b/>
          <w:sz w:val="24"/>
          <w:szCs w:val="24"/>
        </w:rPr>
      </w:pPr>
      <w:r w:rsidRPr="00875208">
        <w:rPr>
          <w:b/>
          <w:sz w:val="24"/>
          <w:szCs w:val="24"/>
        </w:rPr>
        <w:t xml:space="preserve">Indicative allocation of funds </w:t>
      </w:r>
      <w:r w:rsidR="00F14557" w:rsidRPr="00875208">
        <w:rPr>
          <w:b/>
          <w:sz w:val="24"/>
          <w:szCs w:val="24"/>
        </w:rPr>
        <w:t>by lot</w:t>
      </w:r>
    </w:p>
    <w:p w:rsidR="00F63729" w:rsidRPr="00875208" w:rsidRDefault="00F63729" w:rsidP="00BD6FF1">
      <w:pPr>
        <w:rPr>
          <w:sz w:val="24"/>
          <w:szCs w:val="24"/>
        </w:rPr>
      </w:pPr>
      <w:r w:rsidRPr="00875208">
        <w:rPr>
          <w:sz w:val="24"/>
          <w:szCs w:val="24"/>
        </w:rPr>
        <w:t>If the allocation indicated for a specific lot cannot be used due to insufficient quality or number of proposals received, the Contracting Authority reserves the right to reallocate the remaining funds to another lot.</w:t>
      </w:r>
    </w:p>
    <w:p w:rsidR="00DB398B" w:rsidRPr="00875208" w:rsidRDefault="00DB398B" w:rsidP="00BD6FF1">
      <w:pPr>
        <w:rPr>
          <w:sz w:val="24"/>
          <w:szCs w:val="24"/>
        </w:rPr>
      </w:pPr>
      <w:r w:rsidRPr="00875208">
        <w:rPr>
          <w:sz w:val="24"/>
          <w:szCs w:val="24"/>
        </w:rPr>
        <w:t>Total amount of funds that will be give</w:t>
      </w:r>
      <w:r w:rsidR="00235863">
        <w:rPr>
          <w:sz w:val="24"/>
          <w:szCs w:val="24"/>
        </w:rPr>
        <w:t>n through this project is EUR 3,</w:t>
      </w:r>
      <w:r w:rsidRPr="00875208">
        <w:rPr>
          <w:sz w:val="24"/>
          <w:szCs w:val="24"/>
        </w:rPr>
        <w:t>5</w:t>
      </w:r>
      <w:r w:rsidR="007D4AEE" w:rsidRPr="00875208">
        <w:rPr>
          <w:sz w:val="24"/>
          <w:szCs w:val="24"/>
        </w:rPr>
        <w:t>0</w:t>
      </w:r>
      <w:r w:rsidR="00235863">
        <w:rPr>
          <w:sz w:val="24"/>
          <w:szCs w:val="24"/>
        </w:rPr>
        <w:t>0,000.</w:t>
      </w:r>
      <w:r w:rsidRPr="00875208">
        <w:rPr>
          <w:sz w:val="24"/>
          <w:szCs w:val="24"/>
        </w:rPr>
        <w:t xml:space="preserve">00 divided in two lots: </w:t>
      </w:r>
    </w:p>
    <w:p w:rsidR="00DB398B" w:rsidRPr="000006EB" w:rsidRDefault="00235863" w:rsidP="00BD6FF1">
      <w:pPr>
        <w:rPr>
          <w:b/>
          <w:sz w:val="24"/>
          <w:szCs w:val="24"/>
        </w:rPr>
      </w:pPr>
      <w:r>
        <w:rPr>
          <w:b/>
          <w:sz w:val="24"/>
          <w:szCs w:val="24"/>
        </w:rPr>
        <w:t xml:space="preserve">Lot 1: Local infrastructure projects aiming at improvement of living conditions </w:t>
      </w:r>
    </w:p>
    <w:p w:rsidR="00DB398B" w:rsidRPr="00875208" w:rsidRDefault="00DB398B" w:rsidP="00BD6FF1">
      <w:pPr>
        <w:rPr>
          <w:sz w:val="24"/>
          <w:szCs w:val="24"/>
        </w:rPr>
      </w:pPr>
      <w:r w:rsidRPr="00875208">
        <w:rPr>
          <w:sz w:val="24"/>
          <w:szCs w:val="24"/>
        </w:rPr>
        <w:t xml:space="preserve">Size of grants: EUR 100,000–200,000 </w:t>
      </w:r>
    </w:p>
    <w:p w:rsidR="00DB398B" w:rsidRPr="000006EB" w:rsidRDefault="00235863" w:rsidP="00BD6FF1">
      <w:pPr>
        <w:rPr>
          <w:b/>
          <w:sz w:val="24"/>
          <w:szCs w:val="24"/>
        </w:rPr>
      </w:pPr>
      <w:r>
        <w:rPr>
          <w:b/>
          <w:sz w:val="24"/>
          <w:szCs w:val="24"/>
        </w:rPr>
        <w:t xml:space="preserve">Lot 2: Local infrastructure projects contributing to economic development </w:t>
      </w:r>
    </w:p>
    <w:p w:rsidR="000006EB" w:rsidRDefault="00DB398B" w:rsidP="00BD6FF1">
      <w:pPr>
        <w:rPr>
          <w:sz w:val="24"/>
          <w:szCs w:val="24"/>
        </w:rPr>
      </w:pPr>
      <w:r w:rsidRPr="00875208">
        <w:rPr>
          <w:sz w:val="24"/>
          <w:szCs w:val="24"/>
        </w:rPr>
        <w:t>Size of grants: EUR 100,000–300,000</w:t>
      </w:r>
    </w:p>
    <w:p w:rsidR="00BA00F7" w:rsidRPr="00875208" w:rsidRDefault="00BA00F7" w:rsidP="00BD6FF1">
      <w:pPr>
        <w:rPr>
          <w:sz w:val="24"/>
          <w:szCs w:val="24"/>
        </w:rPr>
      </w:pPr>
      <w:r w:rsidRPr="00875208">
        <w:rPr>
          <w:sz w:val="24"/>
          <w:szCs w:val="24"/>
        </w:rPr>
        <w:t xml:space="preserve">Any grant </w:t>
      </w:r>
      <w:r w:rsidR="00470768" w:rsidRPr="00875208">
        <w:rPr>
          <w:sz w:val="24"/>
          <w:szCs w:val="24"/>
        </w:rPr>
        <w:t>requested</w:t>
      </w:r>
      <w:r w:rsidRPr="00875208">
        <w:rPr>
          <w:sz w:val="24"/>
          <w:szCs w:val="24"/>
        </w:rPr>
        <w:t xml:space="preserve"> under this Call for Proposals must fall between the following minimum and maximum percentages of total eligible costs of the action</w:t>
      </w:r>
      <w:r w:rsidR="00D57C7A" w:rsidRPr="00875208">
        <w:rPr>
          <w:sz w:val="24"/>
          <w:szCs w:val="24"/>
        </w:rPr>
        <w:t>:</w:t>
      </w:r>
    </w:p>
    <w:p w:rsidR="000F62AF" w:rsidRPr="00875208" w:rsidRDefault="00BA00F7" w:rsidP="00904785">
      <w:pPr>
        <w:numPr>
          <w:ilvl w:val="0"/>
          <w:numId w:val="2"/>
        </w:numPr>
        <w:rPr>
          <w:sz w:val="24"/>
          <w:szCs w:val="24"/>
        </w:rPr>
      </w:pPr>
      <w:r w:rsidRPr="00875208">
        <w:rPr>
          <w:sz w:val="24"/>
          <w:szCs w:val="24"/>
        </w:rPr>
        <w:t xml:space="preserve">Minimum percentage: </w:t>
      </w:r>
      <w:r w:rsidR="00DB398B" w:rsidRPr="00875208">
        <w:rPr>
          <w:sz w:val="24"/>
          <w:szCs w:val="24"/>
        </w:rPr>
        <w:t>51 </w:t>
      </w:r>
      <w:r w:rsidR="0007408E" w:rsidRPr="00875208">
        <w:rPr>
          <w:sz w:val="24"/>
          <w:szCs w:val="24"/>
        </w:rPr>
        <w:t>% of the total eligible costs of the action.</w:t>
      </w:r>
    </w:p>
    <w:p w:rsidR="00BA00F7" w:rsidRPr="00875208" w:rsidRDefault="00BA00F7" w:rsidP="00904785">
      <w:pPr>
        <w:numPr>
          <w:ilvl w:val="0"/>
          <w:numId w:val="2"/>
        </w:numPr>
        <w:rPr>
          <w:sz w:val="24"/>
          <w:szCs w:val="24"/>
        </w:rPr>
      </w:pPr>
      <w:r w:rsidRPr="00875208">
        <w:rPr>
          <w:sz w:val="24"/>
          <w:szCs w:val="24"/>
        </w:rPr>
        <w:t xml:space="preserve">Maximum </w:t>
      </w:r>
      <w:r w:rsidR="007F0695" w:rsidRPr="00875208">
        <w:rPr>
          <w:sz w:val="24"/>
          <w:szCs w:val="24"/>
        </w:rPr>
        <w:t>percentage:</w:t>
      </w:r>
      <w:r w:rsidR="00235863">
        <w:rPr>
          <w:sz w:val="24"/>
          <w:szCs w:val="24"/>
        </w:rPr>
        <w:t xml:space="preserve"> </w:t>
      </w:r>
      <w:r w:rsidR="00DB398B" w:rsidRPr="00875208">
        <w:rPr>
          <w:sz w:val="24"/>
          <w:szCs w:val="24"/>
        </w:rPr>
        <w:t>90</w:t>
      </w:r>
      <w:r w:rsidR="0007408E" w:rsidRPr="00875208">
        <w:rPr>
          <w:sz w:val="24"/>
          <w:szCs w:val="24"/>
        </w:rPr>
        <w:t xml:space="preserve">% of the total eligible costs of the action (see also </w:t>
      </w:r>
      <w:r w:rsidR="00896ECA" w:rsidRPr="00875208">
        <w:rPr>
          <w:sz w:val="24"/>
          <w:szCs w:val="24"/>
        </w:rPr>
        <w:t>Section</w:t>
      </w:r>
      <w:r w:rsidR="0007408E" w:rsidRPr="00875208">
        <w:rPr>
          <w:sz w:val="24"/>
          <w:szCs w:val="24"/>
        </w:rPr>
        <w:t xml:space="preserve"> 2.1.</w:t>
      </w:r>
      <w:r w:rsidR="00446C56" w:rsidRPr="00875208">
        <w:rPr>
          <w:sz w:val="24"/>
          <w:szCs w:val="24"/>
        </w:rPr>
        <w:t>5</w:t>
      </w:r>
      <w:r w:rsidR="0007408E" w:rsidRPr="00875208">
        <w:rPr>
          <w:sz w:val="24"/>
          <w:szCs w:val="24"/>
        </w:rPr>
        <w:t>).</w:t>
      </w:r>
    </w:p>
    <w:p w:rsidR="0007408E" w:rsidRPr="00875208" w:rsidRDefault="0007408E" w:rsidP="00042967">
      <w:pPr>
        <w:tabs>
          <w:tab w:val="num" w:pos="0"/>
        </w:tabs>
        <w:spacing w:before="120"/>
        <w:rPr>
          <w:sz w:val="24"/>
          <w:szCs w:val="24"/>
        </w:rPr>
      </w:pPr>
      <w:r w:rsidRPr="00875208">
        <w:rPr>
          <w:sz w:val="24"/>
          <w:szCs w:val="24"/>
        </w:rPr>
        <w:t>The balance</w:t>
      </w:r>
      <w:r w:rsidR="00470768" w:rsidRPr="00875208">
        <w:rPr>
          <w:sz w:val="24"/>
          <w:szCs w:val="24"/>
        </w:rPr>
        <w:t xml:space="preserve"> (i.e. the difference between the total cost of the action and the amount requested from the Contracting Authority)</w:t>
      </w:r>
      <w:r w:rsidR="00A72065">
        <w:rPr>
          <w:sz w:val="24"/>
          <w:szCs w:val="24"/>
        </w:rPr>
        <w:t xml:space="preserve"> </w:t>
      </w:r>
      <w:r w:rsidRPr="00875208">
        <w:rPr>
          <w:b/>
          <w:sz w:val="24"/>
          <w:szCs w:val="24"/>
        </w:rPr>
        <w:t>must be financed</w:t>
      </w:r>
      <w:r w:rsidRPr="00875208">
        <w:rPr>
          <w:sz w:val="24"/>
          <w:szCs w:val="24"/>
        </w:rPr>
        <w:t xml:space="preserve"> from sources other than the European </w:t>
      </w:r>
      <w:r w:rsidR="00D65E10" w:rsidRPr="00875208">
        <w:rPr>
          <w:sz w:val="24"/>
          <w:szCs w:val="24"/>
        </w:rPr>
        <w:t xml:space="preserve">Union </w:t>
      </w:r>
      <w:r w:rsidR="00CF5740" w:rsidRPr="00875208">
        <w:rPr>
          <w:sz w:val="24"/>
          <w:szCs w:val="24"/>
        </w:rPr>
        <w:t>B</w:t>
      </w:r>
      <w:r w:rsidRPr="00875208">
        <w:rPr>
          <w:sz w:val="24"/>
          <w:szCs w:val="24"/>
        </w:rPr>
        <w:t>udget</w:t>
      </w:r>
      <w:r w:rsidR="007377DD" w:rsidRPr="00875208">
        <w:rPr>
          <w:sz w:val="24"/>
          <w:szCs w:val="24"/>
        </w:rPr>
        <w:t xml:space="preserve"> or the European Development Fund</w:t>
      </w:r>
      <w:r w:rsidR="001D0C7B" w:rsidRPr="00875208">
        <w:rPr>
          <w:rStyle w:val="FootnoteReference"/>
          <w:szCs w:val="24"/>
        </w:rPr>
        <w:footnoteReference w:id="13"/>
      </w:r>
      <w:r w:rsidR="004D357E" w:rsidRPr="00875208">
        <w:rPr>
          <w:sz w:val="24"/>
          <w:szCs w:val="24"/>
        </w:rPr>
        <w:t>.</w:t>
      </w:r>
    </w:p>
    <w:p w:rsidR="0007408E" w:rsidRPr="00875208" w:rsidRDefault="0007408E" w:rsidP="00D97BE7">
      <w:pPr>
        <w:pStyle w:val="Guidelines1"/>
        <w:rPr>
          <w:rFonts w:ascii="Times New Roman" w:hAnsi="Times New Roman"/>
          <w:sz w:val="24"/>
          <w:szCs w:val="24"/>
        </w:rPr>
      </w:pPr>
      <w:bookmarkStart w:id="8" w:name="_Toc384374698"/>
      <w:r w:rsidRPr="00875208">
        <w:rPr>
          <w:rFonts w:ascii="Times New Roman" w:hAnsi="Times New Roman"/>
          <w:sz w:val="24"/>
          <w:szCs w:val="24"/>
        </w:rPr>
        <w:t xml:space="preserve">Rules </w:t>
      </w:r>
      <w:r w:rsidR="0024146B" w:rsidRPr="00875208">
        <w:rPr>
          <w:rFonts w:ascii="Times New Roman" w:hAnsi="Times New Roman"/>
          <w:sz w:val="24"/>
          <w:szCs w:val="24"/>
        </w:rPr>
        <w:t xml:space="preserve">FOR </w:t>
      </w:r>
      <w:r w:rsidRPr="00875208">
        <w:rPr>
          <w:rFonts w:ascii="Times New Roman" w:hAnsi="Times New Roman"/>
          <w:sz w:val="24"/>
          <w:szCs w:val="24"/>
        </w:rPr>
        <w:t>thIS call for proposalS</w:t>
      </w:r>
      <w:bookmarkEnd w:id="8"/>
    </w:p>
    <w:p w:rsidR="0007408E" w:rsidRPr="00875208" w:rsidRDefault="0007408E" w:rsidP="00BD6FF1">
      <w:pPr>
        <w:rPr>
          <w:sz w:val="24"/>
          <w:szCs w:val="24"/>
        </w:rPr>
      </w:pPr>
      <w:r w:rsidRPr="00875208">
        <w:rPr>
          <w:sz w:val="24"/>
          <w:szCs w:val="24"/>
        </w:rPr>
        <w:t xml:space="preserve">These guidelines set out the rules for </w:t>
      </w:r>
      <w:r w:rsidR="008A6F06" w:rsidRPr="00875208">
        <w:rPr>
          <w:sz w:val="24"/>
          <w:szCs w:val="24"/>
        </w:rPr>
        <w:t xml:space="preserve">the </w:t>
      </w:r>
      <w:r w:rsidRPr="00875208">
        <w:rPr>
          <w:sz w:val="24"/>
          <w:szCs w:val="24"/>
        </w:rPr>
        <w:t>submi</w:t>
      </w:r>
      <w:r w:rsidR="008A6F06" w:rsidRPr="00875208">
        <w:rPr>
          <w:sz w:val="24"/>
          <w:szCs w:val="24"/>
        </w:rPr>
        <w:t>ssion</w:t>
      </w:r>
      <w:r w:rsidRPr="00875208">
        <w:rPr>
          <w:sz w:val="24"/>
          <w:szCs w:val="24"/>
        </w:rPr>
        <w:t>, selecti</w:t>
      </w:r>
      <w:r w:rsidR="008A6F06" w:rsidRPr="00875208">
        <w:rPr>
          <w:sz w:val="24"/>
          <w:szCs w:val="24"/>
        </w:rPr>
        <w:t>on</w:t>
      </w:r>
      <w:r w:rsidRPr="00875208">
        <w:rPr>
          <w:sz w:val="24"/>
          <w:szCs w:val="24"/>
        </w:rPr>
        <w:t xml:space="preserve"> and implement</w:t>
      </w:r>
      <w:r w:rsidR="008A6F06" w:rsidRPr="00875208">
        <w:rPr>
          <w:sz w:val="24"/>
          <w:szCs w:val="24"/>
        </w:rPr>
        <w:t>ation of</w:t>
      </w:r>
      <w:r w:rsidR="00AA424B" w:rsidRPr="00875208">
        <w:rPr>
          <w:sz w:val="24"/>
          <w:szCs w:val="24"/>
        </w:rPr>
        <w:t xml:space="preserve"> the</w:t>
      </w:r>
      <w:r w:rsidRPr="00875208">
        <w:rPr>
          <w:sz w:val="24"/>
          <w:szCs w:val="24"/>
        </w:rPr>
        <w:t xml:space="preserve"> actions financed under th</w:t>
      </w:r>
      <w:r w:rsidR="00E359F9" w:rsidRPr="00875208">
        <w:rPr>
          <w:sz w:val="24"/>
          <w:szCs w:val="24"/>
        </w:rPr>
        <w:t xml:space="preserve">is </w:t>
      </w:r>
      <w:r w:rsidR="00332780" w:rsidRPr="00875208">
        <w:rPr>
          <w:sz w:val="24"/>
          <w:szCs w:val="24"/>
        </w:rPr>
        <w:t>C</w:t>
      </w:r>
      <w:r w:rsidR="00E359F9" w:rsidRPr="00875208">
        <w:rPr>
          <w:sz w:val="24"/>
          <w:szCs w:val="24"/>
        </w:rPr>
        <w:t>all</w:t>
      </w:r>
      <w:r w:rsidRPr="00875208">
        <w:rPr>
          <w:sz w:val="24"/>
          <w:szCs w:val="24"/>
        </w:rPr>
        <w:t>, in conformity with the Practical Guide</w:t>
      </w:r>
      <w:r w:rsidR="009E6254" w:rsidRPr="00875208">
        <w:rPr>
          <w:sz w:val="24"/>
          <w:szCs w:val="24"/>
        </w:rPr>
        <w:t>, which is applicable to the present call</w:t>
      </w:r>
      <w:r w:rsidR="001A3FE1" w:rsidRPr="00875208">
        <w:rPr>
          <w:sz w:val="24"/>
          <w:szCs w:val="24"/>
        </w:rPr>
        <w:t xml:space="preserve"> (</w:t>
      </w:r>
      <w:r w:rsidR="00087373" w:rsidRPr="00875208">
        <w:rPr>
          <w:sz w:val="24"/>
          <w:szCs w:val="24"/>
        </w:rPr>
        <w:t>a</w:t>
      </w:r>
      <w:r w:rsidR="001A3FE1" w:rsidRPr="00875208">
        <w:rPr>
          <w:sz w:val="24"/>
          <w:szCs w:val="24"/>
        </w:rPr>
        <w:t xml:space="preserve">vailable on the Internet at this address: </w:t>
      </w:r>
      <w:hyperlink r:id="rId11" w:history="1">
        <w:r w:rsidR="00CE1D17" w:rsidRPr="00290E06">
          <w:rPr>
            <w:rStyle w:val="Hyperlink"/>
            <w:sz w:val="24"/>
            <w:szCs w:val="24"/>
          </w:rPr>
          <w:t>http://ec.europa.eu/europeaid/prag/document.do?chapterId=6.5.&amp;id=221</w:t>
        </w:r>
      </w:hyperlink>
      <w:r w:rsidR="00CE1D17">
        <w:rPr>
          <w:sz w:val="24"/>
          <w:szCs w:val="24"/>
        </w:rPr>
        <w:t>).</w:t>
      </w:r>
    </w:p>
    <w:p w:rsidR="0007408E" w:rsidRPr="00875208" w:rsidRDefault="0007408E" w:rsidP="004741A1">
      <w:pPr>
        <w:pStyle w:val="Guidelines2"/>
        <w:rPr>
          <w:rFonts w:ascii="Times New Roman" w:hAnsi="Times New Roman"/>
          <w:szCs w:val="24"/>
        </w:rPr>
      </w:pPr>
      <w:bookmarkStart w:id="9" w:name="_Toc384374699"/>
      <w:r w:rsidRPr="00875208">
        <w:rPr>
          <w:rFonts w:ascii="Times New Roman" w:hAnsi="Times New Roman"/>
          <w:szCs w:val="24"/>
        </w:rPr>
        <w:t>Eligibility criteria</w:t>
      </w:r>
      <w:bookmarkEnd w:id="9"/>
    </w:p>
    <w:p w:rsidR="0007408E" w:rsidRPr="00875208" w:rsidRDefault="0007408E" w:rsidP="006E0555">
      <w:pPr>
        <w:rPr>
          <w:sz w:val="24"/>
          <w:szCs w:val="24"/>
        </w:rPr>
      </w:pPr>
      <w:r w:rsidRPr="00875208">
        <w:rPr>
          <w:sz w:val="24"/>
          <w:szCs w:val="24"/>
        </w:rPr>
        <w:t>There are three sets of eligibility criteria, relating to:</w:t>
      </w:r>
    </w:p>
    <w:p w:rsidR="003477DE" w:rsidRPr="00875208" w:rsidRDefault="00296A25" w:rsidP="00904785">
      <w:pPr>
        <w:numPr>
          <w:ilvl w:val="0"/>
          <w:numId w:val="14"/>
        </w:numPr>
        <w:rPr>
          <w:sz w:val="24"/>
          <w:szCs w:val="24"/>
        </w:rPr>
      </w:pPr>
      <w:r w:rsidRPr="00875208">
        <w:rPr>
          <w:sz w:val="24"/>
          <w:szCs w:val="24"/>
        </w:rPr>
        <w:t>the actors:</w:t>
      </w:r>
    </w:p>
    <w:p w:rsidR="003477DE" w:rsidRPr="00875208" w:rsidRDefault="006A36F9" w:rsidP="00904785">
      <w:pPr>
        <w:numPr>
          <w:ilvl w:val="0"/>
          <w:numId w:val="3"/>
        </w:numPr>
        <w:ind w:left="1134"/>
        <w:rPr>
          <w:sz w:val="24"/>
          <w:szCs w:val="24"/>
        </w:rPr>
      </w:pPr>
      <w:r w:rsidRPr="00875208">
        <w:rPr>
          <w:sz w:val="24"/>
          <w:szCs w:val="24"/>
        </w:rPr>
        <w:t xml:space="preserve">The </w:t>
      </w:r>
      <w:r w:rsidRPr="00875208">
        <w:rPr>
          <w:b/>
          <w:sz w:val="24"/>
          <w:szCs w:val="24"/>
        </w:rPr>
        <w:t>applicant</w:t>
      </w:r>
      <w:r w:rsidRPr="00875208">
        <w:rPr>
          <w:sz w:val="24"/>
          <w:szCs w:val="24"/>
        </w:rPr>
        <w:t xml:space="preserve">, </w:t>
      </w:r>
      <w:r w:rsidR="00296A25" w:rsidRPr="00875208">
        <w:rPr>
          <w:sz w:val="24"/>
          <w:szCs w:val="24"/>
        </w:rPr>
        <w:t xml:space="preserve">i.e. </w:t>
      </w:r>
      <w:r w:rsidR="00A31B91" w:rsidRPr="00875208">
        <w:rPr>
          <w:sz w:val="24"/>
          <w:szCs w:val="24"/>
        </w:rPr>
        <w:t>the entity</w:t>
      </w:r>
      <w:r w:rsidR="00BC6A91">
        <w:rPr>
          <w:sz w:val="24"/>
          <w:szCs w:val="24"/>
        </w:rPr>
        <w:t xml:space="preserve"> </w:t>
      </w:r>
      <w:r w:rsidR="00D54450" w:rsidRPr="00875208">
        <w:rPr>
          <w:sz w:val="24"/>
          <w:szCs w:val="24"/>
        </w:rPr>
        <w:t>submit</w:t>
      </w:r>
      <w:r w:rsidR="00A31B91" w:rsidRPr="00875208">
        <w:rPr>
          <w:sz w:val="24"/>
          <w:szCs w:val="24"/>
        </w:rPr>
        <w:t>ting</w:t>
      </w:r>
      <w:r w:rsidR="00D54450" w:rsidRPr="00875208">
        <w:rPr>
          <w:sz w:val="24"/>
          <w:szCs w:val="24"/>
        </w:rPr>
        <w:t xml:space="preserve"> the application form</w:t>
      </w:r>
      <w:r w:rsidR="00F06309" w:rsidRPr="00875208">
        <w:rPr>
          <w:sz w:val="24"/>
          <w:szCs w:val="24"/>
        </w:rPr>
        <w:t xml:space="preserve"> (2.1.1),</w:t>
      </w:r>
    </w:p>
    <w:p w:rsidR="003477DE" w:rsidRPr="00875208" w:rsidRDefault="00A31B91" w:rsidP="00904785">
      <w:pPr>
        <w:numPr>
          <w:ilvl w:val="0"/>
          <w:numId w:val="3"/>
        </w:numPr>
        <w:ind w:left="1134"/>
        <w:rPr>
          <w:sz w:val="24"/>
          <w:szCs w:val="24"/>
        </w:rPr>
      </w:pPr>
      <w:r w:rsidRPr="00875208">
        <w:rPr>
          <w:sz w:val="24"/>
          <w:szCs w:val="24"/>
        </w:rPr>
        <w:t xml:space="preserve">if any, </w:t>
      </w:r>
      <w:r w:rsidR="009901E5" w:rsidRPr="00875208">
        <w:rPr>
          <w:sz w:val="24"/>
          <w:szCs w:val="24"/>
        </w:rPr>
        <w:t>its</w:t>
      </w:r>
      <w:r w:rsidR="00BC6A91">
        <w:rPr>
          <w:sz w:val="24"/>
          <w:szCs w:val="24"/>
        </w:rPr>
        <w:t xml:space="preserve"> </w:t>
      </w:r>
      <w:r w:rsidR="006A36F9" w:rsidRPr="00875208">
        <w:rPr>
          <w:b/>
          <w:sz w:val="24"/>
          <w:szCs w:val="24"/>
        </w:rPr>
        <w:t>co-applicant(s)</w:t>
      </w:r>
      <w:r w:rsidR="006A36F9" w:rsidRPr="00875208">
        <w:rPr>
          <w:sz w:val="24"/>
          <w:szCs w:val="24"/>
        </w:rPr>
        <w:t xml:space="preserve"> (</w:t>
      </w:r>
      <w:r w:rsidR="006A36F9" w:rsidRPr="00875208">
        <w:rPr>
          <w:b/>
          <w:sz w:val="24"/>
          <w:szCs w:val="24"/>
          <w:u w:val="single"/>
        </w:rPr>
        <w:t xml:space="preserve">where it </w:t>
      </w:r>
      <w:r w:rsidR="00B254EE" w:rsidRPr="00875208">
        <w:rPr>
          <w:b/>
          <w:sz w:val="24"/>
          <w:szCs w:val="24"/>
          <w:u w:val="single"/>
        </w:rPr>
        <w:t xml:space="preserve">is </w:t>
      </w:r>
      <w:r w:rsidR="006A36F9" w:rsidRPr="00875208">
        <w:rPr>
          <w:b/>
          <w:sz w:val="24"/>
          <w:szCs w:val="24"/>
          <w:u w:val="single"/>
        </w:rPr>
        <w:t xml:space="preserve">not specified otherwise the applicant and </w:t>
      </w:r>
      <w:r w:rsidR="003477DE" w:rsidRPr="00875208">
        <w:rPr>
          <w:b/>
          <w:sz w:val="24"/>
          <w:szCs w:val="24"/>
          <w:u w:val="single"/>
        </w:rPr>
        <w:t xml:space="preserve">its </w:t>
      </w:r>
      <w:r w:rsidR="006A36F9" w:rsidRPr="00875208">
        <w:rPr>
          <w:b/>
          <w:sz w:val="24"/>
          <w:szCs w:val="24"/>
          <w:u w:val="single"/>
        </w:rPr>
        <w:t xml:space="preserve">co-applicant(s) are </w:t>
      </w:r>
      <w:r w:rsidR="009901E5" w:rsidRPr="00875208">
        <w:rPr>
          <w:b/>
          <w:sz w:val="24"/>
          <w:szCs w:val="24"/>
          <w:u w:val="single"/>
        </w:rPr>
        <w:t xml:space="preserve">hereinafter </w:t>
      </w:r>
      <w:r w:rsidR="006A36F9" w:rsidRPr="00875208">
        <w:rPr>
          <w:b/>
          <w:sz w:val="24"/>
          <w:szCs w:val="24"/>
          <w:u w:val="single"/>
        </w:rPr>
        <w:t>jointly referred as the "</w:t>
      </w:r>
      <w:r w:rsidR="006A36F9" w:rsidRPr="00875208">
        <w:rPr>
          <w:b/>
          <w:i/>
          <w:sz w:val="24"/>
          <w:szCs w:val="24"/>
          <w:u w:val="single"/>
        </w:rPr>
        <w:t>applicants</w:t>
      </w:r>
      <w:r w:rsidRPr="00875208">
        <w:rPr>
          <w:sz w:val="24"/>
          <w:szCs w:val="24"/>
        </w:rPr>
        <w:t>")</w:t>
      </w:r>
      <w:r w:rsidR="006A36F9" w:rsidRPr="00875208">
        <w:rPr>
          <w:sz w:val="24"/>
          <w:szCs w:val="24"/>
        </w:rPr>
        <w:t xml:space="preserve"> (2.1.1), </w:t>
      </w:r>
    </w:p>
    <w:p w:rsidR="00E95995" w:rsidRPr="00875208" w:rsidRDefault="006A36F9" w:rsidP="00904785">
      <w:pPr>
        <w:numPr>
          <w:ilvl w:val="0"/>
          <w:numId w:val="3"/>
        </w:numPr>
        <w:ind w:left="1134"/>
        <w:rPr>
          <w:sz w:val="24"/>
          <w:szCs w:val="24"/>
        </w:rPr>
      </w:pPr>
      <w:r w:rsidRPr="00875208">
        <w:rPr>
          <w:sz w:val="24"/>
          <w:szCs w:val="24"/>
        </w:rPr>
        <w:t>and</w:t>
      </w:r>
      <w:r w:rsidR="00A31B91" w:rsidRPr="00875208">
        <w:rPr>
          <w:sz w:val="24"/>
          <w:szCs w:val="24"/>
        </w:rPr>
        <w:t>, if any,</w:t>
      </w:r>
      <w:r w:rsidR="00BC6A91">
        <w:rPr>
          <w:sz w:val="24"/>
          <w:szCs w:val="24"/>
        </w:rPr>
        <w:t xml:space="preserve"> </w:t>
      </w:r>
      <w:r w:rsidR="00A31B91" w:rsidRPr="00875208">
        <w:rPr>
          <w:b/>
          <w:sz w:val="24"/>
          <w:szCs w:val="24"/>
        </w:rPr>
        <w:t>affiliated entity(ies)</w:t>
      </w:r>
      <w:r w:rsidR="00296A25" w:rsidRPr="00875208">
        <w:rPr>
          <w:sz w:val="24"/>
          <w:szCs w:val="24"/>
        </w:rPr>
        <w:t xml:space="preserve">to the applicant and/or to a co-applicant(s). </w:t>
      </w:r>
      <w:r w:rsidR="00A31B91" w:rsidRPr="00875208">
        <w:rPr>
          <w:sz w:val="24"/>
          <w:szCs w:val="24"/>
        </w:rPr>
        <w:t>(2.1.</w:t>
      </w:r>
      <w:r w:rsidR="00F06309" w:rsidRPr="00875208">
        <w:rPr>
          <w:sz w:val="24"/>
          <w:szCs w:val="24"/>
        </w:rPr>
        <w:t>2</w:t>
      </w:r>
      <w:r w:rsidRPr="00875208">
        <w:rPr>
          <w:sz w:val="24"/>
          <w:szCs w:val="24"/>
        </w:rPr>
        <w:t>);</w:t>
      </w:r>
    </w:p>
    <w:p w:rsidR="00E95995" w:rsidRPr="00875208" w:rsidRDefault="00296A25" w:rsidP="00904785">
      <w:pPr>
        <w:numPr>
          <w:ilvl w:val="0"/>
          <w:numId w:val="14"/>
        </w:numPr>
        <w:rPr>
          <w:sz w:val="24"/>
          <w:szCs w:val="24"/>
        </w:rPr>
      </w:pPr>
      <w:r w:rsidRPr="00875208">
        <w:rPr>
          <w:sz w:val="24"/>
          <w:szCs w:val="24"/>
        </w:rPr>
        <w:t xml:space="preserve">the </w:t>
      </w:r>
      <w:r w:rsidR="00F06309" w:rsidRPr="00875208">
        <w:rPr>
          <w:sz w:val="24"/>
          <w:szCs w:val="24"/>
        </w:rPr>
        <w:t>a</w:t>
      </w:r>
      <w:r w:rsidR="006F1CFC" w:rsidRPr="00875208">
        <w:rPr>
          <w:sz w:val="24"/>
          <w:szCs w:val="24"/>
        </w:rPr>
        <w:t>ctions</w:t>
      </w:r>
      <w:r w:rsidRPr="00875208">
        <w:rPr>
          <w:sz w:val="24"/>
          <w:szCs w:val="24"/>
        </w:rPr>
        <w:t>:</w:t>
      </w:r>
    </w:p>
    <w:p w:rsidR="003477DE" w:rsidRPr="00875208" w:rsidRDefault="006F1CFC" w:rsidP="00E95995">
      <w:pPr>
        <w:ind w:left="720"/>
        <w:rPr>
          <w:sz w:val="24"/>
          <w:szCs w:val="24"/>
        </w:rPr>
      </w:pPr>
      <w:r w:rsidRPr="00875208">
        <w:rPr>
          <w:sz w:val="24"/>
          <w:szCs w:val="24"/>
        </w:rPr>
        <w:lastRenderedPageBreak/>
        <w:t>Action</w:t>
      </w:r>
      <w:r w:rsidR="00A07623" w:rsidRPr="00875208">
        <w:rPr>
          <w:sz w:val="24"/>
          <w:szCs w:val="24"/>
        </w:rPr>
        <w:t>s</w:t>
      </w:r>
      <w:r w:rsidR="003477DE" w:rsidRPr="00875208">
        <w:rPr>
          <w:sz w:val="24"/>
          <w:szCs w:val="24"/>
        </w:rPr>
        <w:t xml:space="preserve"> for which a grant may be awarded (2.1.4);</w:t>
      </w:r>
    </w:p>
    <w:p w:rsidR="00E95995" w:rsidRPr="00875208" w:rsidRDefault="00296A25" w:rsidP="00904785">
      <w:pPr>
        <w:numPr>
          <w:ilvl w:val="0"/>
          <w:numId w:val="14"/>
        </w:numPr>
        <w:rPr>
          <w:sz w:val="24"/>
          <w:szCs w:val="24"/>
        </w:rPr>
      </w:pPr>
      <w:r w:rsidRPr="00875208">
        <w:rPr>
          <w:sz w:val="24"/>
          <w:szCs w:val="24"/>
        </w:rPr>
        <w:t>the costs:</w:t>
      </w:r>
    </w:p>
    <w:p w:rsidR="00267E4F" w:rsidRDefault="0007408E" w:rsidP="00904785">
      <w:pPr>
        <w:numPr>
          <w:ilvl w:val="0"/>
          <w:numId w:val="3"/>
        </w:numPr>
        <w:ind w:left="1134"/>
        <w:rPr>
          <w:sz w:val="24"/>
          <w:szCs w:val="24"/>
        </w:rPr>
      </w:pPr>
      <w:r w:rsidRPr="00875208">
        <w:rPr>
          <w:sz w:val="24"/>
          <w:szCs w:val="24"/>
        </w:rPr>
        <w:t xml:space="preserve">types of cost </w:t>
      </w:r>
      <w:r w:rsidR="00AA424B" w:rsidRPr="00875208">
        <w:rPr>
          <w:sz w:val="24"/>
          <w:szCs w:val="24"/>
        </w:rPr>
        <w:t xml:space="preserve">that </w:t>
      </w:r>
      <w:r w:rsidRPr="00875208">
        <w:rPr>
          <w:sz w:val="24"/>
          <w:szCs w:val="24"/>
        </w:rPr>
        <w:t>may be taken into account in setting the amount of the grant</w:t>
      </w:r>
      <w:r w:rsidR="0032711C" w:rsidRPr="00875208">
        <w:rPr>
          <w:sz w:val="24"/>
          <w:szCs w:val="24"/>
        </w:rPr>
        <w:t xml:space="preserve"> (2.1.</w:t>
      </w:r>
      <w:r w:rsidR="00B971F7" w:rsidRPr="00875208">
        <w:rPr>
          <w:sz w:val="24"/>
          <w:szCs w:val="24"/>
        </w:rPr>
        <w:t>5</w:t>
      </w:r>
      <w:r w:rsidR="0032711C" w:rsidRPr="00875208">
        <w:rPr>
          <w:sz w:val="24"/>
          <w:szCs w:val="24"/>
        </w:rPr>
        <w:t>)</w:t>
      </w:r>
      <w:r w:rsidRPr="00875208">
        <w:rPr>
          <w:sz w:val="24"/>
          <w:szCs w:val="24"/>
        </w:rPr>
        <w:t>.</w:t>
      </w:r>
    </w:p>
    <w:p w:rsidR="00C36E9A" w:rsidRPr="00875208" w:rsidRDefault="00C36E9A" w:rsidP="00C36E9A">
      <w:pPr>
        <w:ind w:left="1134"/>
        <w:rPr>
          <w:sz w:val="24"/>
          <w:szCs w:val="24"/>
        </w:rPr>
      </w:pPr>
    </w:p>
    <w:p w:rsidR="0007408E" w:rsidRPr="00875208" w:rsidRDefault="0007408E" w:rsidP="00203ABF">
      <w:pPr>
        <w:pStyle w:val="Guidelines3"/>
        <w:rPr>
          <w:szCs w:val="24"/>
        </w:rPr>
      </w:pPr>
      <w:bookmarkStart w:id="10" w:name="_Toc384374700"/>
      <w:r w:rsidRPr="00875208">
        <w:rPr>
          <w:szCs w:val="24"/>
        </w:rPr>
        <w:t>Eligibility of applicant</w:t>
      </w:r>
      <w:r w:rsidR="00A2450D" w:rsidRPr="00875208">
        <w:rPr>
          <w:szCs w:val="24"/>
        </w:rPr>
        <w:t>s</w:t>
      </w:r>
      <w:r w:rsidR="00C4172B" w:rsidRPr="00875208">
        <w:rPr>
          <w:szCs w:val="24"/>
        </w:rPr>
        <w:t xml:space="preserve"> (i.e. applicant and co-applicant(s))</w:t>
      </w:r>
      <w:bookmarkEnd w:id="10"/>
    </w:p>
    <w:p w:rsidR="00FF4D4F" w:rsidRPr="00875208" w:rsidRDefault="00FF4D4F" w:rsidP="00FF4D4F">
      <w:pPr>
        <w:ind w:left="426" w:hanging="426"/>
        <w:rPr>
          <w:b/>
          <w:sz w:val="24"/>
          <w:szCs w:val="24"/>
        </w:rPr>
      </w:pPr>
    </w:p>
    <w:p w:rsidR="00E41AA3" w:rsidRPr="00875208" w:rsidRDefault="00E41AA3" w:rsidP="00FF4D4F">
      <w:pPr>
        <w:ind w:left="426" w:hanging="426"/>
        <w:rPr>
          <w:b/>
          <w:sz w:val="24"/>
          <w:szCs w:val="24"/>
        </w:rPr>
      </w:pPr>
      <w:r w:rsidRPr="00875208">
        <w:rPr>
          <w:b/>
          <w:sz w:val="24"/>
          <w:szCs w:val="24"/>
        </w:rPr>
        <w:t>Applicant</w:t>
      </w:r>
    </w:p>
    <w:p w:rsidR="00FF4D4F" w:rsidRPr="00875208" w:rsidRDefault="00FF4D4F" w:rsidP="00FF4D4F">
      <w:pPr>
        <w:ind w:left="426" w:hanging="426"/>
        <w:rPr>
          <w:b/>
          <w:sz w:val="24"/>
          <w:szCs w:val="24"/>
        </w:rPr>
      </w:pPr>
      <w:r w:rsidRPr="00875208">
        <w:rPr>
          <w:sz w:val="24"/>
          <w:szCs w:val="24"/>
        </w:rPr>
        <w:t>(1)</w:t>
      </w:r>
      <w:r w:rsidRPr="00875208">
        <w:rPr>
          <w:sz w:val="24"/>
          <w:szCs w:val="24"/>
        </w:rPr>
        <w:tab/>
        <w:t xml:space="preserve">In order to be eligible for a grant, the applicant </w:t>
      </w:r>
      <w:r w:rsidRPr="00875208">
        <w:rPr>
          <w:b/>
          <w:sz w:val="24"/>
          <w:szCs w:val="24"/>
        </w:rPr>
        <w:t>must:</w:t>
      </w:r>
    </w:p>
    <w:p w:rsidR="008438AE" w:rsidRPr="00875208" w:rsidRDefault="008438AE" w:rsidP="00904785">
      <w:pPr>
        <w:numPr>
          <w:ilvl w:val="0"/>
          <w:numId w:val="24"/>
        </w:numPr>
        <w:rPr>
          <w:sz w:val="24"/>
          <w:szCs w:val="24"/>
        </w:rPr>
      </w:pPr>
      <w:r w:rsidRPr="00875208">
        <w:rPr>
          <w:sz w:val="24"/>
          <w:szCs w:val="24"/>
        </w:rPr>
        <w:t>be a legal person</w:t>
      </w:r>
      <w:r w:rsidR="00F32B51">
        <w:rPr>
          <w:sz w:val="24"/>
          <w:szCs w:val="24"/>
        </w:rPr>
        <w:t xml:space="preserve"> </w:t>
      </w:r>
      <w:r w:rsidR="00F32B51" w:rsidRPr="00370984">
        <w:rPr>
          <w:b/>
          <w:sz w:val="24"/>
          <w:szCs w:val="24"/>
        </w:rPr>
        <w:t>and</w:t>
      </w:r>
    </w:p>
    <w:p w:rsidR="008438AE" w:rsidRPr="00875208" w:rsidRDefault="008438AE" w:rsidP="00904785">
      <w:pPr>
        <w:numPr>
          <w:ilvl w:val="0"/>
          <w:numId w:val="24"/>
        </w:numPr>
        <w:rPr>
          <w:sz w:val="24"/>
          <w:szCs w:val="24"/>
        </w:rPr>
      </w:pPr>
      <w:r w:rsidRPr="00875208">
        <w:rPr>
          <w:sz w:val="24"/>
          <w:szCs w:val="24"/>
        </w:rPr>
        <w:t>be a non-profit making</w:t>
      </w:r>
      <w:r w:rsidR="00F32B51">
        <w:rPr>
          <w:sz w:val="24"/>
          <w:szCs w:val="24"/>
        </w:rPr>
        <w:t xml:space="preserve"> </w:t>
      </w:r>
      <w:r w:rsidR="00F32B51" w:rsidRPr="00370984">
        <w:rPr>
          <w:b/>
          <w:sz w:val="24"/>
          <w:szCs w:val="24"/>
        </w:rPr>
        <w:t>and</w:t>
      </w:r>
    </w:p>
    <w:p w:rsidR="00625BCE" w:rsidRPr="00D30900" w:rsidRDefault="00FF4D4F" w:rsidP="00D30900">
      <w:pPr>
        <w:pStyle w:val="ListParagraph"/>
        <w:numPr>
          <w:ilvl w:val="0"/>
          <w:numId w:val="24"/>
        </w:numPr>
        <w:spacing w:after="120"/>
        <w:rPr>
          <w:sz w:val="24"/>
          <w:szCs w:val="24"/>
        </w:rPr>
      </w:pPr>
      <w:r w:rsidRPr="00D30900">
        <w:rPr>
          <w:sz w:val="24"/>
          <w:szCs w:val="24"/>
        </w:rPr>
        <w:t xml:space="preserve">be a </w:t>
      </w:r>
      <w:r w:rsidR="00D30900" w:rsidRPr="00D30900">
        <w:rPr>
          <w:sz w:val="24"/>
          <w:szCs w:val="24"/>
        </w:rPr>
        <w:t>municipality,</w:t>
      </w:r>
      <w:r w:rsidR="00F13E6A">
        <w:rPr>
          <w:sz w:val="24"/>
          <w:szCs w:val="24"/>
        </w:rPr>
        <w:t xml:space="preserve"> </w:t>
      </w:r>
      <w:r w:rsidRPr="00D30900">
        <w:rPr>
          <w:sz w:val="24"/>
          <w:szCs w:val="24"/>
        </w:rPr>
        <w:t xml:space="preserve">city municipality or city (hereinafter referred to as </w:t>
      </w:r>
      <w:r w:rsidRPr="00D30900">
        <w:rPr>
          <w:b/>
          <w:sz w:val="24"/>
          <w:szCs w:val="24"/>
        </w:rPr>
        <w:t>municipality</w:t>
      </w:r>
      <w:r w:rsidRPr="00D30900">
        <w:rPr>
          <w:sz w:val="24"/>
          <w:szCs w:val="24"/>
        </w:rPr>
        <w:t>)</w:t>
      </w:r>
      <w:r w:rsidR="00F32B51" w:rsidRPr="00D30900">
        <w:rPr>
          <w:sz w:val="24"/>
          <w:szCs w:val="24"/>
        </w:rPr>
        <w:t xml:space="preserve"> </w:t>
      </w:r>
      <w:r w:rsidR="00F32B51" w:rsidRPr="00370984">
        <w:rPr>
          <w:b/>
          <w:sz w:val="24"/>
          <w:szCs w:val="24"/>
        </w:rPr>
        <w:t>and</w:t>
      </w:r>
    </w:p>
    <w:p w:rsidR="00625BCE" w:rsidRPr="00370984" w:rsidRDefault="00363B5A" w:rsidP="00D30900">
      <w:pPr>
        <w:pStyle w:val="ListParagraph"/>
        <w:numPr>
          <w:ilvl w:val="0"/>
          <w:numId w:val="24"/>
        </w:numPr>
        <w:spacing w:after="120"/>
        <w:rPr>
          <w:b/>
          <w:sz w:val="24"/>
          <w:szCs w:val="24"/>
        </w:rPr>
      </w:pPr>
      <w:r w:rsidRPr="00D30900">
        <w:rPr>
          <w:sz w:val="24"/>
          <w:szCs w:val="24"/>
        </w:rPr>
        <w:t>be established in</w:t>
      </w:r>
      <w:r w:rsidRPr="00944454">
        <w:rPr>
          <w:vertAlign w:val="superscript"/>
        </w:rPr>
        <w:footnoteReference w:id="14"/>
      </w:r>
      <w:r w:rsidR="00655373">
        <w:rPr>
          <w:sz w:val="24"/>
          <w:szCs w:val="24"/>
        </w:rPr>
        <w:t xml:space="preserve"> </w:t>
      </w:r>
      <w:r w:rsidR="00D36663" w:rsidRPr="00D30900">
        <w:rPr>
          <w:sz w:val="24"/>
          <w:szCs w:val="24"/>
        </w:rPr>
        <w:t>a Member State of the European Union</w:t>
      </w:r>
      <w:r w:rsidR="00421332" w:rsidRPr="00D30900">
        <w:rPr>
          <w:sz w:val="24"/>
          <w:szCs w:val="24"/>
        </w:rPr>
        <w:t xml:space="preserve"> or in a country covered by the Article 19 of the IPA Regulation</w:t>
      </w:r>
      <w:r w:rsidR="006E3B4E">
        <w:rPr>
          <w:rStyle w:val="FootnoteReference"/>
          <w:szCs w:val="24"/>
        </w:rPr>
        <w:footnoteReference w:id="15"/>
      </w:r>
      <w:r w:rsidR="00F32B51" w:rsidRPr="00D30900">
        <w:rPr>
          <w:sz w:val="24"/>
          <w:szCs w:val="24"/>
        </w:rPr>
        <w:t xml:space="preserve"> </w:t>
      </w:r>
      <w:r w:rsidR="00F32B51" w:rsidRPr="00370984">
        <w:rPr>
          <w:b/>
          <w:sz w:val="24"/>
          <w:szCs w:val="24"/>
        </w:rPr>
        <w:t>and</w:t>
      </w:r>
    </w:p>
    <w:p w:rsidR="00625BCE" w:rsidRPr="00D30900" w:rsidRDefault="00FF4D4F" w:rsidP="00D30900">
      <w:pPr>
        <w:pStyle w:val="ListParagraph"/>
        <w:numPr>
          <w:ilvl w:val="0"/>
          <w:numId w:val="24"/>
        </w:numPr>
        <w:spacing w:after="120"/>
        <w:rPr>
          <w:sz w:val="24"/>
          <w:szCs w:val="24"/>
        </w:rPr>
      </w:pPr>
      <w:r w:rsidRPr="00D30900">
        <w:rPr>
          <w:sz w:val="24"/>
          <w:szCs w:val="24"/>
        </w:rPr>
        <w:t>be directly responsible for the preparation and management of the action with the co-applicant(s) and affiliated entity(ies), not acting as an intermediary</w:t>
      </w:r>
      <w:r w:rsidR="00FB105D">
        <w:rPr>
          <w:sz w:val="24"/>
          <w:szCs w:val="24"/>
        </w:rPr>
        <w:t>.</w:t>
      </w:r>
      <w:r w:rsidRPr="00D30900">
        <w:rPr>
          <w:sz w:val="24"/>
          <w:szCs w:val="24"/>
        </w:rPr>
        <w:t xml:space="preserve"> </w:t>
      </w:r>
    </w:p>
    <w:p w:rsidR="00FF4D4F" w:rsidRPr="00625BCE" w:rsidRDefault="00841984" w:rsidP="00841984">
      <w:pPr>
        <w:spacing w:after="120"/>
        <w:rPr>
          <w:sz w:val="24"/>
          <w:szCs w:val="24"/>
        </w:rPr>
      </w:pPr>
      <w:r>
        <w:rPr>
          <w:sz w:val="24"/>
          <w:szCs w:val="24"/>
        </w:rPr>
        <w:t xml:space="preserve">(2) </w:t>
      </w:r>
      <w:r w:rsidR="00FF4D4F" w:rsidRPr="00625BCE">
        <w:rPr>
          <w:sz w:val="24"/>
          <w:szCs w:val="24"/>
        </w:rPr>
        <w:t>The potential applicant may not participate in calls for proposals or be awarded grants if it is in any of the situations listed in Section 2.3.3 of the Practical Guide ;</w:t>
      </w:r>
      <w:r w:rsidR="0027011D" w:rsidRPr="00625BCE">
        <w:rPr>
          <w:sz w:val="24"/>
          <w:szCs w:val="24"/>
        </w:rPr>
        <w:t xml:space="preserve"> (available on the Internet at this address: </w:t>
      </w:r>
      <w:hyperlink r:id="rId12" w:history="1">
        <w:r w:rsidR="00FB105D" w:rsidRPr="00F163A6">
          <w:rPr>
            <w:rStyle w:val="Hyperlink"/>
            <w:sz w:val="24"/>
            <w:szCs w:val="24"/>
          </w:rPr>
          <w:t>http://ec.europa.eu/europeaid/prag/document.do?chapterId=2.3.3.&amp;id=221</w:t>
        </w:r>
      </w:hyperlink>
      <w:r w:rsidR="00FB105D">
        <w:rPr>
          <w:sz w:val="24"/>
          <w:szCs w:val="24"/>
        </w:rPr>
        <w:t>)</w:t>
      </w:r>
    </w:p>
    <w:p w:rsidR="00FF4D4F" w:rsidRPr="00875208" w:rsidRDefault="00FF4D4F" w:rsidP="00841984">
      <w:pPr>
        <w:rPr>
          <w:sz w:val="24"/>
          <w:szCs w:val="24"/>
        </w:rPr>
      </w:pPr>
      <w:r w:rsidRPr="00875208">
        <w:rPr>
          <w:sz w:val="24"/>
          <w:szCs w:val="24"/>
        </w:rPr>
        <w:t>In Part A, section 3 of the grant application form (‘Declaration by the applicant’), the applicant must declare that the applicant himself, the co-applicant(s) and affiliated entity(ies)are not in any of these situations.</w:t>
      </w:r>
    </w:p>
    <w:p w:rsidR="00FF4D4F" w:rsidRPr="00875208" w:rsidRDefault="00FF4D4F" w:rsidP="00841984">
      <w:pPr>
        <w:rPr>
          <w:snapToGrid/>
          <w:sz w:val="24"/>
          <w:szCs w:val="24"/>
        </w:rPr>
      </w:pPr>
      <w:r w:rsidRPr="00875208">
        <w:rPr>
          <w:sz w:val="24"/>
          <w:szCs w:val="24"/>
        </w:rPr>
        <w:t xml:space="preserve">The applicant </w:t>
      </w:r>
      <w:r w:rsidRPr="00875208">
        <w:rPr>
          <w:snapToGrid/>
          <w:sz w:val="24"/>
          <w:szCs w:val="24"/>
        </w:rPr>
        <w:t>may act individually or with co-applicant(s)</w:t>
      </w:r>
    </w:p>
    <w:p w:rsidR="00FF4D4F" w:rsidRPr="00875208" w:rsidRDefault="00FF4D4F" w:rsidP="00841984">
      <w:pPr>
        <w:rPr>
          <w:snapToGrid/>
          <w:sz w:val="24"/>
          <w:szCs w:val="24"/>
        </w:rPr>
      </w:pPr>
      <w:r w:rsidRPr="00875208">
        <w:rPr>
          <w:snapToGrid/>
          <w:sz w:val="24"/>
          <w:szCs w:val="24"/>
        </w:rPr>
        <w:t>If awarded the Grant contract, the applicant will become the Beneficiary identified as the Coordinator in annex E3h1 (Special Conditions). The Coordinator is the main interlocutor of the Contracting Authority. It represents and acts on behalf of any other co-beneficiary (if any) and coordinate the design and implementation of the Action.</w:t>
      </w:r>
    </w:p>
    <w:p w:rsidR="00E41AA3" w:rsidRPr="00914112" w:rsidRDefault="00E41AA3" w:rsidP="00841984">
      <w:pPr>
        <w:rPr>
          <w:b/>
          <w:snapToGrid/>
          <w:sz w:val="24"/>
          <w:szCs w:val="24"/>
        </w:rPr>
      </w:pPr>
      <w:r w:rsidRPr="00914112">
        <w:rPr>
          <w:b/>
          <w:snapToGrid/>
          <w:sz w:val="24"/>
          <w:szCs w:val="24"/>
        </w:rPr>
        <w:t>Co-applicant(s)</w:t>
      </w:r>
    </w:p>
    <w:p w:rsidR="00FF4D4F" w:rsidRPr="00875208" w:rsidRDefault="00702336" w:rsidP="00841984">
      <w:pPr>
        <w:spacing w:after="240"/>
        <w:rPr>
          <w:sz w:val="24"/>
          <w:szCs w:val="24"/>
        </w:rPr>
      </w:pPr>
      <w:r w:rsidRPr="00702336">
        <w:rPr>
          <w:sz w:val="24"/>
          <w:szCs w:val="24"/>
        </w:rPr>
        <w:t>The applicants may act in partnership with co-applicant organisations</w:t>
      </w:r>
      <w:r w:rsidR="00FE3815">
        <w:rPr>
          <w:sz w:val="24"/>
          <w:szCs w:val="24"/>
        </w:rPr>
        <w:t>.</w:t>
      </w:r>
      <w:r w:rsidRPr="00702336" w:rsidDel="00B11FED">
        <w:rPr>
          <w:sz w:val="24"/>
          <w:szCs w:val="24"/>
        </w:rPr>
        <w:t xml:space="preserve"> </w:t>
      </w:r>
    </w:p>
    <w:p w:rsidR="00D14624" w:rsidRPr="00875208" w:rsidRDefault="00D14624" w:rsidP="00841984">
      <w:pPr>
        <w:rPr>
          <w:snapToGrid/>
          <w:sz w:val="24"/>
          <w:szCs w:val="24"/>
        </w:rPr>
      </w:pPr>
      <w:r w:rsidRPr="00875208">
        <w:rPr>
          <w:snapToGrid/>
          <w:sz w:val="24"/>
          <w:szCs w:val="24"/>
        </w:rPr>
        <w:t xml:space="preserve">Co-applicant(s) participate in designing and implementing the action, and the costs they incur are eligible in the same way as those incurred by the applicant. </w:t>
      </w:r>
    </w:p>
    <w:p w:rsidR="00914112" w:rsidRDefault="00D14624" w:rsidP="00841984">
      <w:pPr>
        <w:rPr>
          <w:snapToGrid/>
          <w:sz w:val="24"/>
          <w:szCs w:val="24"/>
        </w:rPr>
      </w:pPr>
      <w:r w:rsidRPr="00875208">
        <w:rPr>
          <w:snapToGrid/>
          <w:sz w:val="24"/>
          <w:szCs w:val="24"/>
        </w:rPr>
        <w:lastRenderedPageBreak/>
        <w:t>Co-applicant(s) must satisfy the eligibility criteria as applicable to the applicant himself.</w:t>
      </w:r>
      <w:r w:rsidR="00CF0720">
        <w:rPr>
          <w:snapToGrid/>
          <w:sz w:val="24"/>
          <w:szCs w:val="24"/>
        </w:rPr>
        <w:t xml:space="preserve"> </w:t>
      </w:r>
    </w:p>
    <w:p w:rsidR="00D14624" w:rsidRPr="00875208" w:rsidRDefault="00CF0720" w:rsidP="00841984">
      <w:pPr>
        <w:rPr>
          <w:snapToGrid/>
          <w:sz w:val="24"/>
          <w:szCs w:val="24"/>
        </w:rPr>
      </w:pPr>
      <w:r>
        <w:rPr>
          <w:snapToGrid/>
          <w:sz w:val="24"/>
          <w:szCs w:val="24"/>
        </w:rPr>
        <w:t>In addition to the applicants’ eligibility criteria</w:t>
      </w:r>
      <w:r w:rsidR="00C0577E">
        <w:rPr>
          <w:snapToGrid/>
          <w:sz w:val="24"/>
          <w:szCs w:val="24"/>
        </w:rPr>
        <w:t xml:space="preserve"> </w:t>
      </w:r>
      <w:r w:rsidR="00C0577E" w:rsidRPr="00C0577E">
        <w:t xml:space="preserve">in point 1(c) </w:t>
      </w:r>
      <w:r w:rsidR="00542612" w:rsidRPr="00C0577E">
        <w:t>above</w:t>
      </w:r>
      <w:r w:rsidR="00542612">
        <w:t>,</w:t>
      </w:r>
      <w:r w:rsidR="00542612">
        <w:rPr>
          <w:snapToGrid/>
          <w:sz w:val="24"/>
          <w:szCs w:val="24"/>
        </w:rPr>
        <w:t xml:space="preserve"> the</w:t>
      </w:r>
      <w:r>
        <w:rPr>
          <w:snapToGrid/>
          <w:sz w:val="24"/>
          <w:szCs w:val="24"/>
        </w:rPr>
        <w:t xml:space="preserve"> following entities are </w:t>
      </w:r>
      <w:r w:rsidR="00F42CD1">
        <w:rPr>
          <w:snapToGrid/>
          <w:sz w:val="24"/>
          <w:szCs w:val="24"/>
        </w:rPr>
        <w:t xml:space="preserve">also </w:t>
      </w:r>
      <w:r>
        <w:rPr>
          <w:snapToGrid/>
          <w:sz w:val="24"/>
          <w:szCs w:val="24"/>
        </w:rPr>
        <w:t xml:space="preserve">eligible as co-applicants: </w:t>
      </w:r>
      <w:r w:rsidR="00B11FED">
        <w:rPr>
          <w:snapToGrid/>
          <w:sz w:val="24"/>
          <w:szCs w:val="24"/>
        </w:rPr>
        <w:t xml:space="preserve">Public Utility Companies, </w:t>
      </w:r>
      <w:r>
        <w:rPr>
          <w:snapToGrid/>
          <w:sz w:val="24"/>
          <w:szCs w:val="24"/>
        </w:rPr>
        <w:t xml:space="preserve">Higher Education Institutions, Regional Chamber of Commerce, Industry associations, tourism organisations, educational and training institutions, </w:t>
      </w:r>
      <w:r w:rsidR="00B11FED">
        <w:rPr>
          <w:snapToGrid/>
          <w:sz w:val="24"/>
          <w:szCs w:val="24"/>
        </w:rPr>
        <w:t>business support organisations</w:t>
      </w:r>
      <w:r w:rsidR="00914112">
        <w:rPr>
          <w:snapToGrid/>
          <w:sz w:val="24"/>
          <w:szCs w:val="24"/>
        </w:rPr>
        <w:t xml:space="preserve">, kindergartens, </w:t>
      </w:r>
      <w:r w:rsidR="00CE52CF">
        <w:rPr>
          <w:snapToGrid/>
          <w:sz w:val="24"/>
          <w:szCs w:val="24"/>
        </w:rPr>
        <w:t xml:space="preserve">social and health care institutions, RDAs, </w:t>
      </w:r>
      <w:r w:rsidR="00DF1C1A">
        <w:rPr>
          <w:snapToGrid/>
          <w:sz w:val="24"/>
          <w:szCs w:val="24"/>
        </w:rPr>
        <w:t>research institutions</w:t>
      </w:r>
      <w:r w:rsidR="00235863">
        <w:rPr>
          <w:snapToGrid/>
          <w:sz w:val="24"/>
          <w:szCs w:val="24"/>
        </w:rPr>
        <w:t>.</w:t>
      </w:r>
      <w:r w:rsidR="00DF1C1A">
        <w:rPr>
          <w:snapToGrid/>
          <w:sz w:val="24"/>
          <w:szCs w:val="24"/>
        </w:rPr>
        <w:t xml:space="preserve"> </w:t>
      </w:r>
    </w:p>
    <w:p w:rsidR="00C263CF" w:rsidRDefault="00D14624" w:rsidP="00841984">
      <w:pPr>
        <w:rPr>
          <w:snapToGrid/>
          <w:sz w:val="24"/>
          <w:szCs w:val="24"/>
        </w:rPr>
      </w:pPr>
      <w:r w:rsidRPr="00875208">
        <w:rPr>
          <w:snapToGrid/>
          <w:sz w:val="24"/>
          <w:szCs w:val="24"/>
        </w:rPr>
        <w:t>Co-applicant(s) must sign the Mandate in Part B section 4 of the grant application form.</w:t>
      </w:r>
    </w:p>
    <w:p w:rsidR="001F56CE" w:rsidRDefault="001F56CE" w:rsidP="00841984">
      <w:pPr>
        <w:rPr>
          <w:bCs/>
          <w:kern w:val="32"/>
          <w:sz w:val="24"/>
          <w:szCs w:val="24"/>
        </w:rPr>
      </w:pPr>
      <w:r w:rsidRPr="00C263CF">
        <w:rPr>
          <w:bCs/>
          <w:kern w:val="32"/>
          <w:sz w:val="24"/>
          <w:szCs w:val="24"/>
        </w:rPr>
        <w:t>If awarded the Grant contract, the co-applicant(s) (if any) will become beneficiaries in the Action (together with the Coordinator).</w:t>
      </w:r>
    </w:p>
    <w:p w:rsidR="00D7734D" w:rsidRPr="00C263CF" w:rsidRDefault="00D7734D" w:rsidP="00841984">
      <w:pPr>
        <w:rPr>
          <w:bCs/>
          <w:kern w:val="32"/>
          <w:sz w:val="24"/>
          <w:szCs w:val="24"/>
        </w:rPr>
      </w:pPr>
    </w:p>
    <w:p w:rsidR="00914462" w:rsidRPr="00875208" w:rsidRDefault="00914462" w:rsidP="00203ABF">
      <w:pPr>
        <w:pStyle w:val="Guidelines3"/>
        <w:rPr>
          <w:szCs w:val="24"/>
        </w:rPr>
      </w:pPr>
      <w:bookmarkStart w:id="11" w:name="_Toc384374701"/>
      <w:r w:rsidRPr="00875208">
        <w:rPr>
          <w:szCs w:val="24"/>
        </w:rPr>
        <w:t>Affiliated entities</w:t>
      </w:r>
      <w:bookmarkEnd w:id="11"/>
    </w:p>
    <w:p w:rsidR="00E84010" w:rsidRPr="00875208" w:rsidRDefault="00E84010" w:rsidP="006B6048">
      <w:pPr>
        <w:rPr>
          <w:snapToGrid/>
          <w:sz w:val="24"/>
          <w:szCs w:val="24"/>
        </w:rPr>
      </w:pPr>
    </w:p>
    <w:p w:rsidR="00A327B3" w:rsidRPr="00875208" w:rsidRDefault="00E84010" w:rsidP="006B6048">
      <w:pPr>
        <w:rPr>
          <w:snapToGrid/>
          <w:sz w:val="24"/>
          <w:szCs w:val="24"/>
        </w:rPr>
      </w:pPr>
      <w:r w:rsidRPr="00875208">
        <w:rPr>
          <w:snapToGrid/>
          <w:sz w:val="24"/>
          <w:szCs w:val="24"/>
        </w:rPr>
        <w:t>The applicant and its co-applicant(s) may act with affiliated entity(ies).</w:t>
      </w:r>
    </w:p>
    <w:p w:rsidR="00914462" w:rsidRPr="00875208" w:rsidRDefault="003477DE" w:rsidP="006B6048">
      <w:pPr>
        <w:rPr>
          <w:sz w:val="24"/>
          <w:szCs w:val="24"/>
        </w:rPr>
      </w:pPr>
      <w:r w:rsidRPr="00875208">
        <w:rPr>
          <w:b/>
          <w:sz w:val="24"/>
          <w:szCs w:val="24"/>
        </w:rPr>
        <w:t xml:space="preserve">Only the </w:t>
      </w:r>
      <w:r w:rsidR="00914462" w:rsidRPr="00875208">
        <w:rPr>
          <w:b/>
          <w:sz w:val="24"/>
          <w:szCs w:val="24"/>
        </w:rPr>
        <w:t xml:space="preserve">following entities may be considered as affiliated entities to the applicant </w:t>
      </w:r>
      <w:r w:rsidR="00E86372" w:rsidRPr="00875208">
        <w:rPr>
          <w:b/>
          <w:sz w:val="24"/>
          <w:szCs w:val="24"/>
        </w:rPr>
        <w:t>and/</w:t>
      </w:r>
      <w:r w:rsidR="00914462" w:rsidRPr="00875208">
        <w:rPr>
          <w:b/>
          <w:sz w:val="24"/>
          <w:szCs w:val="24"/>
        </w:rPr>
        <w:t>or to co-applicant(s):</w:t>
      </w:r>
    </w:p>
    <w:p w:rsidR="005E7A18" w:rsidRPr="00875208" w:rsidRDefault="005E7A18" w:rsidP="005E7A18">
      <w:pPr>
        <w:keepNext/>
        <w:spacing w:after="120" w:line="276" w:lineRule="auto"/>
        <w:rPr>
          <w:sz w:val="24"/>
          <w:szCs w:val="24"/>
        </w:rPr>
      </w:pPr>
      <w:r w:rsidRPr="009541EB">
        <w:rPr>
          <w:sz w:val="24"/>
          <w:szCs w:val="24"/>
        </w:rPr>
        <w:t>Only entities having a structural link with the applicants, in particular a legal or capital link</w:t>
      </w:r>
      <w:r w:rsidRPr="00875208">
        <w:rPr>
          <w:sz w:val="24"/>
          <w:szCs w:val="24"/>
        </w:rPr>
        <w:t>.</w:t>
      </w:r>
    </w:p>
    <w:p w:rsidR="005E7A18" w:rsidRPr="00875208" w:rsidRDefault="005E7A18" w:rsidP="005E7A18">
      <w:pPr>
        <w:spacing w:line="276" w:lineRule="auto"/>
        <w:rPr>
          <w:sz w:val="24"/>
          <w:szCs w:val="24"/>
        </w:rPr>
      </w:pPr>
      <w:r w:rsidRPr="00875208">
        <w:rPr>
          <w:sz w:val="24"/>
          <w:szCs w:val="24"/>
        </w:rPr>
        <w:t>This structural link encompasses mainly two notions:</w:t>
      </w:r>
    </w:p>
    <w:p w:rsidR="005E7A18" w:rsidRPr="00875208" w:rsidRDefault="005E7A18" w:rsidP="005E7A18">
      <w:pPr>
        <w:spacing w:line="276" w:lineRule="auto"/>
        <w:ind w:left="720" w:hanging="567"/>
        <w:rPr>
          <w:sz w:val="24"/>
          <w:szCs w:val="24"/>
        </w:rPr>
      </w:pPr>
      <w:r w:rsidRPr="00875208">
        <w:rPr>
          <w:sz w:val="24"/>
          <w:szCs w:val="24"/>
        </w:rPr>
        <w:t xml:space="preserve">(i) </w:t>
      </w:r>
      <w:r w:rsidRPr="00875208">
        <w:rPr>
          <w:sz w:val="24"/>
          <w:szCs w:val="24"/>
        </w:rPr>
        <w:tab/>
        <w:t>Control, as defined in Directive 2013/34/EU on the annual financial statements, consolidated financial statements and related reports of certain types of undertakings:</w:t>
      </w:r>
    </w:p>
    <w:p w:rsidR="005E7A18" w:rsidRPr="00875208" w:rsidRDefault="005E7A18" w:rsidP="00807DAF">
      <w:pPr>
        <w:spacing w:after="0" w:line="276" w:lineRule="auto"/>
        <w:ind w:left="851"/>
        <w:rPr>
          <w:sz w:val="24"/>
          <w:szCs w:val="24"/>
        </w:rPr>
      </w:pPr>
      <w:r w:rsidRPr="00875208">
        <w:rPr>
          <w:sz w:val="24"/>
          <w:szCs w:val="24"/>
        </w:rPr>
        <w:t>Entities affiliated to a beneficiary may hence be:</w:t>
      </w:r>
    </w:p>
    <w:p w:rsidR="005E7A18" w:rsidRPr="00875208" w:rsidRDefault="005E7A18" w:rsidP="00904785">
      <w:pPr>
        <w:numPr>
          <w:ilvl w:val="0"/>
          <w:numId w:val="15"/>
        </w:numPr>
        <w:spacing w:after="0" w:line="276" w:lineRule="auto"/>
        <w:ind w:left="1276" w:hanging="283"/>
        <w:rPr>
          <w:sz w:val="24"/>
          <w:szCs w:val="24"/>
        </w:rPr>
      </w:pPr>
      <w:r w:rsidRPr="00875208">
        <w:rPr>
          <w:sz w:val="24"/>
          <w:szCs w:val="24"/>
        </w:rPr>
        <w:t>Entities directly or indirectly controlled by the beneficiary (daughter companies or first-tier subsidiaries). They may also be entities controlled by an entity controlled by the beneficiary (granddaughter companies or second-tier subsidiaries) and the same applies to further tiers of control;</w:t>
      </w:r>
    </w:p>
    <w:p w:rsidR="005E7A18" w:rsidRPr="00875208" w:rsidRDefault="005E7A18" w:rsidP="00904785">
      <w:pPr>
        <w:numPr>
          <w:ilvl w:val="0"/>
          <w:numId w:val="15"/>
        </w:numPr>
        <w:spacing w:after="0" w:line="276" w:lineRule="auto"/>
        <w:ind w:left="1276" w:hanging="283"/>
        <w:rPr>
          <w:sz w:val="24"/>
          <w:szCs w:val="24"/>
        </w:rPr>
      </w:pPr>
      <w:r w:rsidRPr="00875208">
        <w:rPr>
          <w:sz w:val="24"/>
          <w:szCs w:val="24"/>
        </w:rPr>
        <w:t>Entities directly or indirectly controlling the beneficiary (parent companies). Likewise, they may be entities controlling an entity controlling the beneficiary;</w:t>
      </w:r>
    </w:p>
    <w:p w:rsidR="005E7A18" w:rsidRPr="00875208" w:rsidRDefault="005E7A18" w:rsidP="00904785">
      <w:pPr>
        <w:numPr>
          <w:ilvl w:val="0"/>
          <w:numId w:val="15"/>
        </w:numPr>
        <w:spacing w:after="0" w:line="276" w:lineRule="auto"/>
        <w:ind w:left="1276" w:hanging="283"/>
        <w:rPr>
          <w:sz w:val="24"/>
          <w:szCs w:val="24"/>
        </w:rPr>
      </w:pPr>
      <w:r w:rsidRPr="00875208">
        <w:rPr>
          <w:sz w:val="24"/>
          <w:szCs w:val="24"/>
        </w:rPr>
        <w:t>Entities under the same direct or indirect control as the beneficiary (sister companies).</w:t>
      </w:r>
    </w:p>
    <w:p w:rsidR="005E7A18" w:rsidRPr="00875208" w:rsidRDefault="005E7A18" w:rsidP="005E7A18">
      <w:pPr>
        <w:spacing w:after="0" w:line="276" w:lineRule="auto"/>
        <w:ind w:left="720" w:hanging="578"/>
        <w:rPr>
          <w:sz w:val="24"/>
          <w:szCs w:val="24"/>
        </w:rPr>
      </w:pPr>
      <w:r w:rsidRPr="00875208">
        <w:rPr>
          <w:sz w:val="24"/>
          <w:szCs w:val="24"/>
        </w:rPr>
        <w:t xml:space="preserve">(ii) </w:t>
      </w:r>
      <w:r w:rsidRPr="00875208">
        <w:rPr>
          <w:sz w:val="24"/>
          <w:szCs w:val="24"/>
        </w:rPr>
        <w:tab/>
        <w:t>Membership, i.e. the beneficiary is legally defined as a e.g. network, federation, association in which the proposed affiliated entities also participate or the beneficiary participates in the same entity (e.g. network, federation, association) as the proposed affiliated entities.</w:t>
      </w:r>
    </w:p>
    <w:p w:rsidR="005E7A18" w:rsidRPr="00875208" w:rsidRDefault="005E7A18" w:rsidP="005E7A18">
      <w:pPr>
        <w:spacing w:after="0" w:line="276" w:lineRule="auto"/>
        <w:rPr>
          <w:sz w:val="24"/>
          <w:szCs w:val="24"/>
        </w:rPr>
      </w:pPr>
    </w:p>
    <w:p w:rsidR="005E7A18" w:rsidRPr="00875208" w:rsidRDefault="005E7A18" w:rsidP="005E7A18">
      <w:pPr>
        <w:spacing w:after="0" w:line="276" w:lineRule="auto"/>
        <w:rPr>
          <w:sz w:val="24"/>
          <w:szCs w:val="24"/>
        </w:rPr>
      </w:pPr>
      <w:r w:rsidRPr="00875208">
        <w:rPr>
          <w:sz w:val="24"/>
          <w:szCs w:val="24"/>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rsidR="005E7A18" w:rsidRPr="00875208" w:rsidRDefault="005E7A18" w:rsidP="005E7A18">
      <w:pPr>
        <w:spacing w:after="0" w:line="276" w:lineRule="auto"/>
        <w:ind w:left="720"/>
        <w:rPr>
          <w:sz w:val="24"/>
          <w:szCs w:val="24"/>
        </w:rPr>
      </w:pPr>
    </w:p>
    <w:p w:rsidR="005E7A18" w:rsidRPr="00875208" w:rsidRDefault="005E7A18" w:rsidP="005E7A18">
      <w:pPr>
        <w:spacing w:line="276" w:lineRule="auto"/>
        <w:rPr>
          <w:sz w:val="24"/>
          <w:szCs w:val="24"/>
        </w:rPr>
      </w:pPr>
      <w:r w:rsidRPr="00875208">
        <w:rPr>
          <w:sz w:val="24"/>
          <w:szCs w:val="24"/>
        </w:rPr>
        <w:t>By way of exception, an entity may be considered as affiliated to a beneficiary even if it has a structural link specifically established for the sole purpose of the implementation of the action in the case of so-called “sole applicants” or “sole beneficiaries”.  A sole applicant or a sole beneficiary is an entity formed by several entities (a group of entities) which together comply with the criteria for being awarded the grant</w:t>
      </w:r>
      <w:r w:rsidR="00FF5991" w:rsidRPr="00875208">
        <w:rPr>
          <w:sz w:val="24"/>
          <w:szCs w:val="24"/>
        </w:rPr>
        <w:t>. For example, an association is formed by its members.</w:t>
      </w:r>
    </w:p>
    <w:p w:rsidR="00D7029A" w:rsidRDefault="00D7029A" w:rsidP="005E7A18">
      <w:pPr>
        <w:pStyle w:val="Heading5"/>
        <w:spacing w:line="276" w:lineRule="auto"/>
        <w:rPr>
          <w:rFonts w:ascii="Times New Roman" w:hAnsi="Times New Roman"/>
          <w:sz w:val="24"/>
          <w:szCs w:val="24"/>
          <w:u w:val="single"/>
        </w:rPr>
      </w:pPr>
    </w:p>
    <w:p w:rsidR="005E7A18" w:rsidRPr="00875208" w:rsidRDefault="005E7A18" w:rsidP="005E7A18">
      <w:pPr>
        <w:pStyle w:val="Heading5"/>
        <w:spacing w:line="276" w:lineRule="auto"/>
        <w:rPr>
          <w:rFonts w:ascii="Times New Roman" w:hAnsi="Times New Roman"/>
          <w:sz w:val="24"/>
          <w:szCs w:val="24"/>
          <w:u w:val="single"/>
        </w:rPr>
      </w:pPr>
      <w:r w:rsidRPr="00875208">
        <w:rPr>
          <w:rFonts w:ascii="Times New Roman" w:hAnsi="Times New Roman"/>
          <w:sz w:val="24"/>
          <w:szCs w:val="24"/>
          <w:u w:val="single"/>
        </w:rPr>
        <w:t xml:space="preserve">What is not an affiliated entity? </w:t>
      </w:r>
    </w:p>
    <w:p w:rsidR="005E7A18" w:rsidRPr="00875208" w:rsidRDefault="005E7A18" w:rsidP="005E7A18">
      <w:pPr>
        <w:spacing w:after="0"/>
        <w:rPr>
          <w:sz w:val="24"/>
          <w:szCs w:val="24"/>
        </w:rPr>
      </w:pPr>
    </w:p>
    <w:p w:rsidR="005E7A18" w:rsidRPr="00875208" w:rsidRDefault="005E7A18" w:rsidP="005E7A18">
      <w:pPr>
        <w:spacing w:after="0"/>
        <w:rPr>
          <w:sz w:val="24"/>
          <w:szCs w:val="24"/>
        </w:rPr>
      </w:pPr>
      <w:r w:rsidRPr="00875208">
        <w:rPr>
          <w:sz w:val="24"/>
          <w:szCs w:val="24"/>
        </w:rPr>
        <w:t xml:space="preserve">The following are not </w:t>
      </w:r>
      <w:r w:rsidR="006765B7" w:rsidRPr="00875208">
        <w:rPr>
          <w:sz w:val="24"/>
          <w:szCs w:val="24"/>
        </w:rPr>
        <w:t xml:space="preserve">considered </w:t>
      </w:r>
      <w:r w:rsidRPr="00875208">
        <w:rPr>
          <w:sz w:val="24"/>
          <w:szCs w:val="24"/>
        </w:rPr>
        <w:t>entities affiliated to a beneficiary:</w:t>
      </w:r>
    </w:p>
    <w:p w:rsidR="005E7A18" w:rsidRPr="00875208" w:rsidRDefault="005E7A18" w:rsidP="005E7A18">
      <w:pPr>
        <w:spacing w:after="0" w:line="276" w:lineRule="auto"/>
        <w:rPr>
          <w:sz w:val="24"/>
          <w:szCs w:val="24"/>
        </w:rPr>
      </w:pPr>
    </w:p>
    <w:p w:rsidR="005E7A18" w:rsidRPr="00875208" w:rsidRDefault="005E7A18" w:rsidP="00904785">
      <w:pPr>
        <w:numPr>
          <w:ilvl w:val="0"/>
          <w:numId w:val="16"/>
        </w:numPr>
        <w:spacing w:after="0" w:line="276" w:lineRule="auto"/>
        <w:rPr>
          <w:sz w:val="24"/>
          <w:szCs w:val="24"/>
        </w:rPr>
      </w:pPr>
      <w:r w:rsidRPr="00875208">
        <w:rPr>
          <w:sz w:val="24"/>
          <w:szCs w:val="24"/>
        </w:rPr>
        <w:t xml:space="preserve">Entities that have entered into a (procurement) contract or subcontract with a beneficiary, act as concessionaires or </w:t>
      </w:r>
      <w:r w:rsidR="00235863" w:rsidRPr="00875208">
        <w:rPr>
          <w:sz w:val="24"/>
          <w:szCs w:val="24"/>
        </w:rPr>
        <w:t>delegates</w:t>
      </w:r>
      <w:r w:rsidRPr="00875208">
        <w:rPr>
          <w:sz w:val="24"/>
          <w:szCs w:val="24"/>
        </w:rPr>
        <w:t xml:space="preserve"> for public services for a beneficiary,</w:t>
      </w:r>
    </w:p>
    <w:p w:rsidR="005E7A18" w:rsidRPr="00875208" w:rsidRDefault="005E7A18" w:rsidP="00904785">
      <w:pPr>
        <w:numPr>
          <w:ilvl w:val="0"/>
          <w:numId w:val="16"/>
        </w:numPr>
        <w:spacing w:after="0" w:line="276" w:lineRule="auto"/>
        <w:rPr>
          <w:sz w:val="24"/>
          <w:szCs w:val="24"/>
        </w:rPr>
      </w:pPr>
      <w:r w:rsidRPr="00875208">
        <w:rPr>
          <w:sz w:val="24"/>
          <w:szCs w:val="24"/>
        </w:rPr>
        <w:t>Entities that receive financial support from the beneficiary,</w:t>
      </w:r>
    </w:p>
    <w:p w:rsidR="005E7A18" w:rsidRPr="00875208" w:rsidRDefault="005E7A18" w:rsidP="00904785">
      <w:pPr>
        <w:numPr>
          <w:ilvl w:val="0"/>
          <w:numId w:val="16"/>
        </w:numPr>
        <w:spacing w:after="0" w:line="276" w:lineRule="auto"/>
        <w:rPr>
          <w:sz w:val="24"/>
          <w:szCs w:val="24"/>
        </w:rPr>
      </w:pPr>
      <w:r w:rsidRPr="00875208">
        <w:rPr>
          <w:sz w:val="24"/>
          <w:szCs w:val="24"/>
        </w:rPr>
        <w:t>Entities that cooperate on a regular basis with the beneficiary on the basis of a memorandum of understanding or share some assets,</w:t>
      </w:r>
    </w:p>
    <w:p w:rsidR="005E7A18" w:rsidRPr="00875208" w:rsidRDefault="005E7A18" w:rsidP="00904785">
      <w:pPr>
        <w:numPr>
          <w:ilvl w:val="0"/>
          <w:numId w:val="16"/>
        </w:numPr>
        <w:spacing w:after="0" w:line="276" w:lineRule="auto"/>
        <w:rPr>
          <w:sz w:val="24"/>
          <w:szCs w:val="24"/>
        </w:rPr>
      </w:pPr>
      <w:r w:rsidRPr="00875208">
        <w:rPr>
          <w:sz w:val="24"/>
          <w:szCs w:val="24"/>
        </w:rPr>
        <w:t>Entities that have signed a consortium agreement under the grant contract.</w:t>
      </w:r>
    </w:p>
    <w:p w:rsidR="005E7A18" w:rsidRPr="00875208" w:rsidRDefault="005E7A18" w:rsidP="005E7A18">
      <w:pPr>
        <w:spacing w:after="0" w:line="276" w:lineRule="auto"/>
        <w:rPr>
          <w:sz w:val="24"/>
          <w:szCs w:val="24"/>
        </w:rPr>
      </w:pPr>
    </w:p>
    <w:p w:rsidR="005E7A18" w:rsidRPr="00875208" w:rsidRDefault="005E7A18" w:rsidP="005E7A18">
      <w:pPr>
        <w:spacing w:after="0" w:line="276" w:lineRule="auto"/>
        <w:rPr>
          <w:sz w:val="24"/>
          <w:szCs w:val="24"/>
          <w:u w:val="single"/>
        </w:rPr>
      </w:pPr>
      <w:r w:rsidRPr="00875208">
        <w:rPr>
          <w:sz w:val="24"/>
          <w:szCs w:val="24"/>
          <w:u w:val="single"/>
        </w:rPr>
        <w:t>How to verify the existence of the required link with the beneficiary?</w:t>
      </w:r>
    </w:p>
    <w:p w:rsidR="005E7A18" w:rsidRPr="00875208" w:rsidRDefault="005E7A18" w:rsidP="005E7A18">
      <w:pPr>
        <w:spacing w:after="0"/>
        <w:rPr>
          <w:sz w:val="24"/>
          <w:szCs w:val="24"/>
        </w:rPr>
      </w:pPr>
    </w:p>
    <w:p w:rsidR="005E7A18" w:rsidRPr="00875208" w:rsidRDefault="005E7A18" w:rsidP="005E7A18">
      <w:pPr>
        <w:spacing w:after="0" w:line="276" w:lineRule="auto"/>
        <w:ind w:left="8"/>
        <w:rPr>
          <w:sz w:val="24"/>
          <w:szCs w:val="24"/>
        </w:rPr>
      </w:pPr>
      <w:r w:rsidRPr="00875208">
        <w:rPr>
          <w:sz w:val="24"/>
          <w:szCs w:val="24"/>
        </w:rPr>
        <w:t xml:space="preserve">The affiliation resulting from control may </w:t>
      </w:r>
      <w:r w:rsidR="00805526" w:rsidRPr="00875208">
        <w:rPr>
          <w:sz w:val="24"/>
          <w:szCs w:val="24"/>
        </w:rPr>
        <w:t xml:space="preserve">in particular </w:t>
      </w:r>
      <w:r w:rsidRPr="00875208">
        <w:rPr>
          <w:sz w:val="24"/>
          <w:szCs w:val="24"/>
        </w:rPr>
        <w:t>be proved on the basis of the consolidated accounts of the group of entities the beneficiary and its proposed affiliates belong to.</w:t>
      </w:r>
    </w:p>
    <w:p w:rsidR="005E7A18" w:rsidRPr="00875208" w:rsidRDefault="005E7A18" w:rsidP="005E7A18">
      <w:pPr>
        <w:spacing w:after="0" w:line="276" w:lineRule="auto"/>
        <w:rPr>
          <w:sz w:val="24"/>
          <w:szCs w:val="24"/>
        </w:rPr>
      </w:pPr>
    </w:p>
    <w:p w:rsidR="005E7A18" w:rsidRPr="00875208" w:rsidRDefault="005E7A18" w:rsidP="005E7A18">
      <w:pPr>
        <w:spacing w:after="0" w:line="276" w:lineRule="auto"/>
        <w:rPr>
          <w:sz w:val="24"/>
          <w:szCs w:val="24"/>
        </w:rPr>
      </w:pPr>
      <w:r w:rsidRPr="00875208">
        <w:rPr>
          <w:sz w:val="24"/>
          <w:szCs w:val="24"/>
        </w:rPr>
        <w:t xml:space="preserve">The affiliation resulting from membership may </w:t>
      </w:r>
      <w:r w:rsidR="00805526" w:rsidRPr="00875208">
        <w:rPr>
          <w:sz w:val="24"/>
          <w:szCs w:val="24"/>
        </w:rPr>
        <w:t xml:space="preserve">in particular </w:t>
      </w:r>
      <w:r w:rsidRPr="00875208">
        <w:rPr>
          <w:sz w:val="24"/>
          <w:szCs w:val="24"/>
        </w:rPr>
        <w:t>be proved on the basis of the statutes or equivalent act establishing the entity (network, federation, association) which the beneficiary constitutes or in which the beneficiary participates.</w:t>
      </w:r>
    </w:p>
    <w:p w:rsidR="00D14624" w:rsidRPr="00875208" w:rsidRDefault="00D14624" w:rsidP="006B6048">
      <w:pPr>
        <w:rPr>
          <w:sz w:val="24"/>
          <w:szCs w:val="24"/>
        </w:rPr>
      </w:pPr>
    </w:p>
    <w:p w:rsidR="00F012FD" w:rsidRPr="00875208" w:rsidRDefault="007261B1" w:rsidP="006B6048">
      <w:pPr>
        <w:rPr>
          <w:sz w:val="24"/>
          <w:szCs w:val="24"/>
        </w:rPr>
      </w:pPr>
      <w:r w:rsidRPr="00875208">
        <w:rPr>
          <w:sz w:val="24"/>
          <w:szCs w:val="24"/>
        </w:rPr>
        <w:t>If the applicants are awarded a contract, their affiliated entity(ies) will not be become Beneficiary(ies) of the Action and signatory(ies) of the Contract. However, they will participate in the design and  in the implementation of the Action and the costs they incur (including those incurred for Implementation Contracts and Financial Support to third parties) may be accepted as eligible costs, provided they comply with all the relevant rules already applicable to the Beneficiary(ies) under the Grant Contract.</w:t>
      </w:r>
    </w:p>
    <w:p w:rsidR="00A33882" w:rsidRPr="00875208" w:rsidRDefault="00914462" w:rsidP="007261B1">
      <w:pPr>
        <w:rPr>
          <w:sz w:val="24"/>
          <w:szCs w:val="24"/>
        </w:rPr>
      </w:pPr>
      <w:r w:rsidRPr="00875208">
        <w:rPr>
          <w:sz w:val="24"/>
          <w:szCs w:val="24"/>
        </w:rPr>
        <w:t xml:space="preserve">Affiliated entity(ies) must satisfy the </w:t>
      </w:r>
      <w:r w:rsidR="00DD5D23" w:rsidRPr="00875208">
        <w:rPr>
          <w:sz w:val="24"/>
          <w:szCs w:val="24"/>
        </w:rPr>
        <w:t xml:space="preserve">same </w:t>
      </w:r>
      <w:r w:rsidRPr="00875208">
        <w:rPr>
          <w:sz w:val="24"/>
          <w:szCs w:val="24"/>
        </w:rPr>
        <w:t xml:space="preserve">eligibility criteria as the applicant and the co-applicant(s). </w:t>
      </w:r>
      <w:r w:rsidR="00DD5D23" w:rsidRPr="00875208">
        <w:rPr>
          <w:sz w:val="24"/>
          <w:szCs w:val="24"/>
        </w:rPr>
        <w:t xml:space="preserve"> T</w:t>
      </w:r>
      <w:r w:rsidR="007261B1" w:rsidRPr="00875208">
        <w:rPr>
          <w:sz w:val="24"/>
          <w:szCs w:val="24"/>
        </w:rPr>
        <w:t>hey</w:t>
      </w:r>
      <w:r w:rsidR="00A33882" w:rsidRPr="00875208">
        <w:rPr>
          <w:sz w:val="24"/>
          <w:szCs w:val="24"/>
        </w:rPr>
        <w:t xml:space="preserve"> must sign the affiliated entity(ies) statement in Part B section 5 of the grant application form.</w:t>
      </w:r>
    </w:p>
    <w:p w:rsidR="00F06309" w:rsidRPr="00875208" w:rsidRDefault="00F06309" w:rsidP="00F06309">
      <w:pPr>
        <w:pStyle w:val="Guidelines3"/>
        <w:rPr>
          <w:szCs w:val="24"/>
        </w:rPr>
      </w:pPr>
      <w:bookmarkStart w:id="12" w:name="_Toc380145061"/>
      <w:bookmarkStart w:id="13" w:name="_Toc384374702"/>
      <w:bookmarkEnd w:id="12"/>
      <w:r w:rsidRPr="00875208">
        <w:rPr>
          <w:szCs w:val="24"/>
        </w:rPr>
        <w:t>Associates and Contractors</w:t>
      </w:r>
      <w:bookmarkEnd w:id="13"/>
    </w:p>
    <w:p w:rsidR="00F06309" w:rsidRPr="00875208" w:rsidRDefault="00F06309" w:rsidP="00F06309">
      <w:pPr>
        <w:spacing w:before="240"/>
        <w:rPr>
          <w:sz w:val="24"/>
          <w:szCs w:val="24"/>
        </w:rPr>
      </w:pPr>
      <w:r w:rsidRPr="00875208">
        <w:rPr>
          <w:sz w:val="24"/>
          <w:szCs w:val="24"/>
        </w:rPr>
        <w:t>The following entities are not applicant(s) nor affiliated entity(ies) and do not have to sign the "mandate" or "affiliated entities' statement":</w:t>
      </w:r>
    </w:p>
    <w:p w:rsidR="00F06309" w:rsidRPr="00875208" w:rsidRDefault="00F06309" w:rsidP="00904785">
      <w:pPr>
        <w:numPr>
          <w:ilvl w:val="0"/>
          <w:numId w:val="4"/>
        </w:numPr>
        <w:rPr>
          <w:sz w:val="24"/>
          <w:szCs w:val="24"/>
        </w:rPr>
      </w:pPr>
      <w:r w:rsidRPr="00875208">
        <w:rPr>
          <w:sz w:val="24"/>
          <w:szCs w:val="24"/>
        </w:rPr>
        <w:t>Associates</w:t>
      </w:r>
    </w:p>
    <w:p w:rsidR="00F06309" w:rsidRPr="00875208" w:rsidRDefault="00F06309" w:rsidP="00F06309">
      <w:pPr>
        <w:rPr>
          <w:sz w:val="24"/>
          <w:szCs w:val="24"/>
        </w:rPr>
      </w:pPr>
      <w:r w:rsidRPr="00875208">
        <w:rPr>
          <w:sz w:val="24"/>
          <w:szCs w:val="24"/>
        </w:rPr>
        <w:t xml:space="preserve">Other organisations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of the Applicant participating in the Action’ — of the Grant Application Form. </w:t>
      </w:r>
    </w:p>
    <w:p w:rsidR="00F06309" w:rsidRPr="00875208" w:rsidRDefault="00F06309" w:rsidP="00904785">
      <w:pPr>
        <w:numPr>
          <w:ilvl w:val="0"/>
          <w:numId w:val="4"/>
        </w:numPr>
        <w:rPr>
          <w:sz w:val="24"/>
          <w:szCs w:val="24"/>
        </w:rPr>
      </w:pPr>
      <w:r w:rsidRPr="00875208">
        <w:rPr>
          <w:sz w:val="24"/>
          <w:szCs w:val="24"/>
        </w:rPr>
        <w:t>Contractors</w:t>
      </w:r>
    </w:p>
    <w:p w:rsidR="00F06309" w:rsidRDefault="00F06309" w:rsidP="00F06309">
      <w:pPr>
        <w:rPr>
          <w:sz w:val="24"/>
          <w:szCs w:val="24"/>
        </w:rPr>
      </w:pPr>
      <w:r w:rsidRPr="00875208">
        <w:rPr>
          <w:sz w:val="24"/>
          <w:szCs w:val="24"/>
        </w:rPr>
        <w:t>The grant beneficiaries and their affiliated entities are permitted to award contracts. Associates or affiliated entity(ies) cannot be also contractors in the project. Contractors are subject to the procurement rules set out in Annex IV to the standard grant contract.</w:t>
      </w:r>
    </w:p>
    <w:p w:rsidR="00942C65" w:rsidRPr="00875208" w:rsidRDefault="00942C65" w:rsidP="00F06309">
      <w:pPr>
        <w:rPr>
          <w:sz w:val="24"/>
          <w:szCs w:val="24"/>
        </w:rPr>
      </w:pPr>
    </w:p>
    <w:p w:rsidR="0007408E" w:rsidRPr="00875208" w:rsidRDefault="0007408E" w:rsidP="00203ABF">
      <w:pPr>
        <w:pStyle w:val="Guidelines3"/>
        <w:rPr>
          <w:szCs w:val="24"/>
        </w:rPr>
      </w:pPr>
      <w:bookmarkStart w:id="14" w:name="_Toc380145063"/>
      <w:bookmarkStart w:id="15" w:name="_Toc380145064"/>
      <w:bookmarkStart w:id="16" w:name="_Toc384374703"/>
      <w:bookmarkEnd w:id="14"/>
      <w:bookmarkEnd w:id="15"/>
      <w:r w:rsidRPr="00875208">
        <w:rPr>
          <w:szCs w:val="24"/>
        </w:rPr>
        <w:t>Eligible actions: actions for which an application may be made</w:t>
      </w:r>
      <w:bookmarkEnd w:id="16"/>
    </w:p>
    <w:p w:rsidR="009B41E2" w:rsidRPr="007B7091" w:rsidRDefault="007B7091" w:rsidP="006B6048">
      <w:pPr>
        <w:spacing w:before="240"/>
        <w:rPr>
          <w:sz w:val="24"/>
          <w:szCs w:val="24"/>
          <w:u w:val="single"/>
        </w:rPr>
      </w:pPr>
      <w:r>
        <w:rPr>
          <w:sz w:val="24"/>
          <w:szCs w:val="24"/>
          <w:u w:val="single"/>
        </w:rPr>
        <w:t>Definition</w:t>
      </w:r>
      <w:r w:rsidR="002265E1" w:rsidRPr="007B7091">
        <w:rPr>
          <w:sz w:val="24"/>
          <w:szCs w:val="24"/>
          <w:u w:val="single"/>
        </w:rPr>
        <w:t xml:space="preserve"> </w:t>
      </w:r>
    </w:p>
    <w:p w:rsidR="002265E1" w:rsidRPr="00875208" w:rsidRDefault="002265E1" w:rsidP="006B6048">
      <w:pPr>
        <w:rPr>
          <w:sz w:val="24"/>
          <w:szCs w:val="24"/>
        </w:rPr>
      </w:pPr>
      <w:r w:rsidRPr="00875208">
        <w:rPr>
          <w:sz w:val="24"/>
          <w:szCs w:val="24"/>
        </w:rPr>
        <w:t>A</w:t>
      </w:r>
      <w:r w:rsidR="00B526B1" w:rsidRPr="00875208">
        <w:rPr>
          <w:sz w:val="24"/>
          <w:szCs w:val="24"/>
        </w:rPr>
        <w:t>n</w:t>
      </w:r>
      <w:r w:rsidRPr="00875208">
        <w:rPr>
          <w:sz w:val="24"/>
          <w:szCs w:val="24"/>
        </w:rPr>
        <w:t xml:space="preserve"> </w:t>
      </w:r>
      <w:r w:rsidRPr="007B7091">
        <w:rPr>
          <w:b/>
          <w:sz w:val="24"/>
          <w:szCs w:val="24"/>
        </w:rPr>
        <w:t>action</w:t>
      </w:r>
      <w:r w:rsidRPr="00875208">
        <w:rPr>
          <w:sz w:val="24"/>
          <w:szCs w:val="24"/>
        </w:rPr>
        <w:t xml:space="preserve"> is composed </w:t>
      </w:r>
      <w:r w:rsidR="00E16D0E" w:rsidRPr="00875208">
        <w:rPr>
          <w:sz w:val="24"/>
          <w:szCs w:val="24"/>
        </w:rPr>
        <w:t>of a</w:t>
      </w:r>
      <w:r w:rsidRPr="00875208">
        <w:rPr>
          <w:sz w:val="24"/>
          <w:szCs w:val="24"/>
        </w:rPr>
        <w:t xml:space="preserve"> </w:t>
      </w:r>
      <w:r w:rsidRPr="007B7091">
        <w:rPr>
          <w:b/>
          <w:sz w:val="24"/>
          <w:szCs w:val="24"/>
        </w:rPr>
        <w:t>set of activities</w:t>
      </w:r>
      <w:r w:rsidRPr="00875208">
        <w:rPr>
          <w:sz w:val="24"/>
          <w:szCs w:val="24"/>
        </w:rPr>
        <w:t>.</w:t>
      </w:r>
    </w:p>
    <w:p w:rsidR="0007408E" w:rsidRPr="00875208" w:rsidRDefault="0007408E" w:rsidP="006B6048">
      <w:pPr>
        <w:rPr>
          <w:sz w:val="24"/>
          <w:szCs w:val="24"/>
          <w:u w:val="single"/>
        </w:rPr>
      </w:pPr>
      <w:r w:rsidRPr="00875208">
        <w:rPr>
          <w:sz w:val="24"/>
          <w:szCs w:val="24"/>
          <w:u w:val="single"/>
        </w:rPr>
        <w:t>Duration</w:t>
      </w:r>
    </w:p>
    <w:p w:rsidR="00A327B3" w:rsidRPr="00875208" w:rsidRDefault="007C70A7" w:rsidP="00A327B3">
      <w:pPr>
        <w:rPr>
          <w:sz w:val="24"/>
          <w:szCs w:val="24"/>
        </w:rPr>
      </w:pPr>
      <w:r w:rsidRPr="00875208">
        <w:rPr>
          <w:sz w:val="24"/>
          <w:szCs w:val="24"/>
        </w:rPr>
        <w:t xml:space="preserve">The initial planned duration of an action may not be lower than 12 months nor exceed </w:t>
      </w:r>
      <w:r w:rsidR="00D07A98" w:rsidRPr="008035D7">
        <w:rPr>
          <w:sz w:val="24"/>
          <w:szCs w:val="24"/>
        </w:rPr>
        <w:t>18 months</w:t>
      </w:r>
      <w:r w:rsidRPr="00875208">
        <w:rPr>
          <w:sz w:val="24"/>
          <w:szCs w:val="24"/>
        </w:rPr>
        <w:t>.</w:t>
      </w:r>
    </w:p>
    <w:p w:rsidR="00A327B3" w:rsidRPr="00875208" w:rsidRDefault="00A327B3" w:rsidP="00A327B3">
      <w:pPr>
        <w:rPr>
          <w:sz w:val="24"/>
          <w:szCs w:val="24"/>
          <w:u w:val="single"/>
        </w:rPr>
      </w:pPr>
      <w:r w:rsidRPr="00875208">
        <w:rPr>
          <w:sz w:val="24"/>
          <w:szCs w:val="24"/>
          <w:u w:val="single"/>
        </w:rPr>
        <w:t>Sectors or themes</w:t>
      </w:r>
    </w:p>
    <w:p w:rsidR="00A327B3" w:rsidRPr="00875208" w:rsidRDefault="00A327B3" w:rsidP="00A327B3">
      <w:pPr>
        <w:rPr>
          <w:sz w:val="24"/>
          <w:szCs w:val="24"/>
        </w:rPr>
      </w:pPr>
      <w:r w:rsidRPr="00875208">
        <w:rPr>
          <w:sz w:val="24"/>
          <w:szCs w:val="24"/>
        </w:rPr>
        <w:t>For actions to be eligible they must contribute to the objectives as outlined in section 1.2 and be in line with the socio-economic development priorities of the area, as defined in the relevant national/regional/sub-regional/local strategies and plans.</w:t>
      </w:r>
    </w:p>
    <w:p w:rsidR="00E40582" w:rsidRPr="00370984" w:rsidRDefault="00FE3815" w:rsidP="00AE7CE9">
      <w:pPr>
        <w:rPr>
          <w:b/>
          <w:i/>
          <w:snapToGrid/>
          <w:sz w:val="24"/>
          <w:szCs w:val="24"/>
          <w:lang w:val="en-US"/>
        </w:rPr>
      </w:pPr>
      <w:r>
        <w:rPr>
          <w:snapToGrid/>
          <w:sz w:val="24"/>
          <w:szCs w:val="24"/>
          <w:lang w:val="en-US"/>
        </w:rPr>
        <w:t xml:space="preserve">The </w:t>
      </w:r>
      <w:r w:rsidRPr="00370984">
        <w:rPr>
          <w:snapToGrid/>
          <w:sz w:val="24"/>
          <w:szCs w:val="24"/>
          <w:lang w:val="en-US"/>
        </w:rPr>
        <w:t>priorities</w:t>
      </w:r>
      <w:r w:rsidRPr="00875208">
        <w:rPr>
          <w:b/>
          <w:snapToGrid/>
          <w:sz w:val="24"/>
          <w:szCs w:val="24"/>
          <w:lang w:val="en-US"/>
        </w:rPr>
        <w:t xml:space="preserve"> </w:t>
      </w:r>
      <w:r w:rsidRPr="00875208">
        <w:rPr>
          <w:snapToGrid/>
          <w:sz w:val="24"/>
          <w:szCs w:val="24"/>
          <w:lang w:val="en-US"/>
        </w:rPr>
        <w:t>have been identified</w:t>
      </w:r>
      <w:r>
        <w:rPr>
          <w:snapToGrid/>
          <w:sz w:val="24"/>
          <w:szCs w:val="24"/>
          <w:lang w:val="en-US"/>
        </w:rPr>
        <w:t xml:space="preserve"> b</w:t>
      </w:r>
      <w:r w:rsidR="00AE7CE9" w:rsidRPr="00875208">
        <w:rPr>
          <w:snapToGrid/>
          <w:sz w:val="24"/>
          <w:szCs w:val="24"/>
          <w:lang w:val="en-US"/>
        </w:rPr>
        <w:t xml:space="preserve">ased on the main strategic documents for the </w:t>
      </w:r>
      <w:r w:rsidR="00AE7CE9" w:rsidRPr="00370984">
        <w:rPr>
          <w:b/>
          <w:snapToGrid/>
          <w:sz w:val="24"/>
          <w:szCs w:val="24"/>
          <w:lang w:val="en-US"/>
        </w:rPr>
        <w:t>Competitiveness sector</w:t>
      </w:r>
      <w:r w:rsidR="00AE7CE9" w:rsidRPr="00875208">
        <w:rPr>
          <w:snapToGrid/>
          <w:sz w:val="24"/>
          <w:szCs w:val="24"/>
          <w:lang w:val="en-US"/>
        </w:rPr>
        <w:t>, which are presented in National priorities for international assistance (NAD) 2014-2017 with projections until 2020</w:t>
      </w:r>
      <w:r>
        <w:rPr>
          <w:snapToGrid/>
          <w:sz w:val="24"/>
          <w:szCs w:val="24"/>
          <w:lang w:val="en-US"/>
        </w:rPr>
        <w:t>.</w:t>
      </w:r>
      <w:r w:rsidR="00AE7CE9" w:rsidRPr="00875208">
        <w:rPr>
          <w:snapToGrid/>
          <w:sz w:val="24"/>
          <w:szCs w:val="24"/>
          <w:lang w:val="en-US"/>
        </w:rPr>
        <w:t xml:space="preserve"> </w:t>
      </w:r>
      <w:r w:rsidR="009E1D91" w:rsidRPr="009E1D91">
        <w:rPr>
          <w:snapToGrid/>
          <w:sz w:val="24"/>
          <w:szCs w:val="24"/>
          <w:lang w:val="en-US"/>
        </w:rPr>
        <w:t xml:space="preserve">Namely, </w:t>
      </w:r>
      <w:r w:rsidR="009E1D91" w:rsidRPr="00370984">
        <w:rPr>
          <w:b/>
          <w:i/>
          <w:snapToGrid/>
          <w:sz w:val="24"/>
          <w:szCs w:val="24"/>
          <w:lang w:val="en-US"/>
        </w:rPr>
        <w:t>dynamic and stable economic growth based on increase in investments.</w:t>
      </w:r>
      <w:r w:rsidR="00D568D8">
        <w:rPr>
          <w:b/>
          <w:i/>
          <w:snapToGrid/>
          <w:sz w:val="24"/>
          <w:szCs w:val="24"/>
          <w:lang w:val="en-US"/>
        </w:rPr>
        <w:t xml:space="preserve"> </w:t>
      </w:r>
      <w:r w:rsidR="00557DC1" w:rsidRPr="00370984">
        <w:rPr>
          <w:snapToGrid/>
          <w:sz w:val="24"/>
          <w:szCs w:val="24"/>
          <w:lang w:val="en-US"/>
        </w:rPr>
        <w:t>Economi</w:t>
      </w:r>
      <w:r w:rsidR="00557DC1">
        <w:rPr>
          <w:snapToGrid/>
          <w:sz w:val="24"/>
          <w:szCs w:val="24"/>
          <w:lang w:val="en-US"/>
        </w:rPr>
        <w:t>c growth and increase in competitiveness of the economy represent a realistic basis for increase in employment an</w:t>
      </w:r>
      <w:r w:rsidR="00061B6F">
        <w:rPr>
          <w:snapToGrid/>
          <w:sz w:val="24"/>
          <w:szCs w:val="24"/>
          <w:lang w:val="en-US"/>
        </w:rPr>
        <w:t>d</w:t>
      </w:r>
      <w:r w:rsidR="00557DC1">
        <w:rPr>
          <w:snapToGrid/>
          <w:sz w:val="24"/>
          <w:szCs w:val="24"/>
          <w:lang w:val="en-US"/>
        </w:rPr>
        <w:t xml:space="preserve"> living standard of the population.</w:t>
      </w:r>
    </w:p>
    <w:p w:rsidR="00A327B3" w:rsidRPr="00875208" w:rsidRDefault="00A327B3" w:rsidP="00725FF4">
      <w:pPr>
        <w:spacing w:after="240"/>
        <w:rPr>
          <w:sz w:val="24"/>
          <w:szCs w:val="24"/>
        </w:rPr>
      </w:pPr>
      <w:r w:rsidRPr="00875208">
        <w:rPr>
          <w:sz w:val="24"/>
          <w:szCs w:val="24"/>
        </w:rPr>
        <w:t xml:space="preserve">Projects also must contribute to enhanced governance. Therefore, the project proposal must address at least one of the </w:t>
      </w:r>
      <w:r w:rsidR="0056074C">
        <w:rPr>
          <w:sz w:val="24"/>
          <w:szCs w:val="24"/>
        </w:rPr>
        <w:t xml:space="preserve">five </w:t>
      </w:r>
      <w:r w:rsidRPr="00875208">
        <w:rPr>
          <w:sz w:val="24"/>
          <w:szCs w:val="24"/>
        </w:rPr>
        <w:t>principles of good governance</w:t>
      </w:r>
      <w:r w:rsidR="00013FDD">
        <w:rPr>
          <w:sz w:val="24"/>
          <w:szCs w:val="24"/>
        </w:rPr>
        <w:t xml:space="preserve"> </w:t>
      </w:r>
      <w:r w:rsidR="00013FDD" w:rsidRPr="00725FF4">
        <w:rPr>
          <w:sz w:val="24"/>
          <w:szCs w:val="24"/>
        </w:rPr>
        <w:t>(accountability, transparency, efficiency, non-discrimination and participation)</w:t>
      </w:r>
      <w:r w:rsidRPr="00875208">
        <w:rPr>
          <w:sz w:val="24"/>
          <w:szCs w:val="24"/>
        </w:rPr>
        <w:t xml:space="preserve"> and propose adequate measures. In addition, project implementation must follow the principles of good governance. </w:t>
      </w:r>
    </w:p>
    <w:p w:rsidR="00EF4021" w:rsidRPr="00875208" w:rsidRDefault="00EF4021" w:rsidP="00EF4021">
      <w:pPr>
        <w:spacing w:after="240"/>
        <w:rPr>
          <w:sz w:val="24"/>
          <w:szCs w:val="24"/>
          <w:u w:val="single"/>
        </w:rPr>
      </w:pPr>
      <w:r w:rsidRPr="00875208">
        <w:rPr>
          <w:sz w:val="24"/>
          <w:szCs w:val="24"/>
          <w:u w:val="single"/>
        </w:rPr>
        <w:t>Location</w:t>
      </w:r>
    </w:p>
    <w:p w:rsidR="00EF4021" w:rsidRPr="00875208" w:rsidRDefault="000118BC" w:rsidP="00EF4021">
      <w:pPr>
        <w:rPr>
          <w:sz w:val="24"/>
          <w:szCs w:val="24"/>
        </w:rPr>
      </w:pPr>
      <w:r w:rsidRPr="00875208">
        <w:rPr>
          <w:sz w:val="24"/>
          <w:szCs w:val="24"/>
        </w:rPr>
        <w:t xml:space="preserve">Actions must take place in one or more </w:t>
      </w:r>
      <w:r w:rsidR="00235863" w:rsidRPr="00875208">
        <w:rPr>
          <w:sz w:val="24"/>
          <w:szCs w:val="24"/>
        </w:rPr>
        <w:t>of the</w:t>
      </w:r>
      <w:r w:rsidR="00EF4021" w:rsidRPr="00875208">
        <w:rPr>
          <w:sz w:val="24"/>
          <w:szCs w:val="24"/>
        </w:rPr>
        <w:t xml:space="preserve"> following municipalities:</w:t>
      </w:r>
    </w:p>
    <w:p w:rsidR="00EF4021" w:rsidRPr="00875208" w:rsidRDefault="00EF4021" w:rsidP="00EF4021">
      <w:pPr>
        <w:rPr>
          <w:b/>
          <w:sz w:val="24"/>
          <w:szCs w:val="24"/>
        </w:rPr>
      </w:pP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37"/>
        <w:gridCol w:w="1331"/>
        <w:gridCol w:w="1412"/>
        <w:gridCol w:w="1198"/>
        <w:gridCol w:w="1416"/>
      </w:tblGrid>
      <w:tr w:rsidR="00BD0756" w:rsidRPr="00875208" w:rsidTr="00BD0756">
        <w:tc>
          <w:tcPr>
            <w:tcW w:w="1532" w:type="dxa"/>
          </w:tcPr>
          <w:p w:rsidR="00BD0756" w:rsidRPr="00875208" w:rsidRDefault="00BD0756" w:rsidP="00BE0730">
            <w:pPr>
              <w:rPr>
                <w:sz w:val="24"/>
                <w:szCs w:val="24"/>
              </w:rPr>
            </w:pPr>
            <w:r w:rsidRPr="00875208">
              <w:rPr>
                <w:sz w:val="24"/>
                <w:szCs w:val="24"/>
              </w:rPr>
              <w:t>Raška</w:t>
            </w:r>
          </w:p>
        </w:tc>
        <w:tc>
          <w:tcPr>
            <w:tcW w:w="1437" w:type="dxa"/>
          </w:tcPr>
          <w:p w:rsidR="00BD0756" w:rsidRPr="00875208" w:rsidRDefault="00BD0756" w:rsidP="00BE0730">
            <w:pPr>
              <w:rPr>
                <w:sz w:val="24"/>
                <w:szCs w:val="24"/>
              </w:rPr>
            </w:pPr>
            <w:r w:rsidRPr="00875208">
              <w:rPr>
                <w:sz w:val="24"/>
                <w:szCs w:val="24"/>
              </w:rPr>
              <w:t>Novi Pazar</w:t>
            </w:r>
          </w:p>
        </w:tc>
        <w:tc>
          <w:tcPr>
            <w:tcW w:w="1331" w:type="dxa"/>
          </w:tcPr>
          <w:p w:rsidR="00BD0756" w:rsidRPr="00875208" w:rsidRDefault="00BD0756" w:rsidP="00BE0730">
            <w:pPr>
              <w:rPr>
                <w:sz w:val="24"/>
                <w:szCs w:val="24"/>
              </w:rPr>
            </w:pPr>
            <w:r w:rsidRPr="00875208">
              <w:rPr>
                <w:sz w:val="24"/>
                <w:szCs w:val="24"/>
              </w:rPr>
              <w:t>Bojnik</w:t>
            </w:r>
          </w:p>
        </w:tc>
        <w:tc>
          <w:tcPr>
            <w:tcW w:w="1412" w:type="dxa"/>
          </w:tcPr>
          <w:p w:rsidR="00BD0756" w:rsidRPr="00875208" w:rsidRDefault="00BD0756" w:rsidP="00BE0730">
            <w:pPr>
              <w:rPr>
                <w:sz w:val="24"/>
                <w:szCs w:val="24"/>
              </w:rPr>
            </w:pPr>
            <w:r w:rsidRPr="00875208">
              <w:rPr>
                <w:sz w:val="24"/>
                <w:szCs w:val="24"/>
              </w:rPr>
              <w:t>Bosilegrad</w:t>
            </w:r>
          </w:p>
        </w:tc>
        <w:tc>
          <w:tcPr>
            <w:tcW w:w="1198" w:type="dxa"/>
          </w:tcPr>
          <w:p w:rsidR="00BD0756" w:rsidRPr="00875208" w:rsidRDefault="00BD0756" w:rsidP="00BE0730">
            <w:pPr>
              <w:rPr>
                <w:sz w:val="24"/>
                <w:szCs w:val="24"/>
              </w:rPr>
            </w:pPr>
            <w:r w:rsidRPr="00875208">
              <w:rPr>
                <w:sz w:val="24"/>
                <w:szCs w:val="24"/>
              </w:rPr>
              <w:t>Trgovište</w:t>
            </w:r>
          </w:p>
        </w:tc>
        <w:tc>
          <w:tcPr>
            <w:tcW w:w="1214" w:type="dxa"/>
          </w:tcPr>
          <w:p w:rsidR="00BD0756" w:rsidRPr="00875208" w:rsidRDefault="00BD0756" w:rsidP="00BE0730">
            <w:pPr>
              <w:spacing w:after="0"/>
              <w:contextualSpacing/>
              <w:rPr>
                <w:sz w:val="24"/>
                <w:szCs w:val="24"/>
                <w:lang w:eastAsia="en-GB"/>
              </w:rPr>
            </w:pPr>
            <w:r w:rsidRPr="00875208">
              <w:rPr>
                <w:sz w:val="24"/>
                <w:szCs w:val="24"/>
                <w:lang w:eastAsia="en-GB"/>
              </w:rPr>
              <w:t>Knjazevac</w:t>
            </w:r>
          </w:p>
        </w:tc>
      </w:tr>
      <w:tr w:rsidR="00BD0756" w:rsidRPr="00875208" w:rsidTr="00BD0756">
        <w:tc>
          <w:tcPr>
            <w:tcW w:w="1532" w:type="dxa"/>
          </w:tcPr>
          <w:p w:rsidR="00BD0756" w:rsidRPr="00875208" w:rsidRDefault="00BD0756" w:rsidP="00BE0730">
            <w:pPr>
              <w:rPr>
                <w:sz w:val="24"/>
                <w:szCs w:val="24"/>
              </w:rPr>
            </w:pPr>
            <w:r w:rsidRPr="00875208">
              <w:rPr>
                <w:sz w:val="24"/>
                <w:szCs w:val="24"/>
              </w:rPr>
              <w:t>Ivanjica</w:t>
            </w:r>
          </w:p>
        </w:tc>
        <w:tc>
          <w:tcPr>
            <w:tcW w:w="1437" w:type="dxa"/>
          </w:tcPr>
          <w:p w:rsidR="00BD0756" w:rsidRPr="00875208" w:rsidRDefault="00BD0756" w:rsidP="00BE0730">
            <w:pPr>
              <w:rPr>
                <w:sz w:val="24"/>
                <w:szCs w:val="24"/>
              </w:rPr>
            </w:pPr>
            <w:r w:rsidRPr="00875208">
              <w:rPr>
                <w:sz w:val="24"/>
                <w:szCs w:val="24"/>
              </w:rPr>
              <w:t>Tutin</w:t>
            </w:r>
          </w:p>
        </w:tc>
        <w:tc>
          <w:tcPr>
            <w:tcW w:w="1331" w:type="dxa"/>
          </w:tcPr>
          <w:p w:rsidR="00BD0756" w:rsidRPr="00875208" w:rsidRDefault="00BD0756" w:rsidP="00BE0730">
            <w:pPr>
              <w:rPr>
                <w:sz w:val="24"/>
                <w:szCs w:val="24"/>
              </w:rPr>
            </w:pPr>
            <w:r w:rsidRPr="00875208">
              <w:rPr>
                <w:sz w:val="24"/>
                <w:szCs w:val="24"/>
              </w:rPr>
              <w:t>Vlasotince</w:t>
            </w:r>
          </w:p>
        </w:tc>
        <w:tc>
          <w:tcPr>
            <w:tcW w:w="1412" w:type="dxa"/>
          </w:tcPr>
          <w:p w:rsidR="00BD0756" w:rsidRPr="00875208" w:rsidRDefault="00BD0756" w:rsidP="00BE0730">
            <w:pPr>
              <w:rPr>
                <w:sz w:val="24"/>
                <w:szCs w:val="24"/>
              </w:rPr>
            </w:pPr>
            <w:r w:rsidRPr="00875208">
              <w:rPr>
                <w:sz w:val="24"/>
                <w:szCs w:val="24"/>
              </w:rPr>
              <w:t>Bujanovac</w:t>
            </w:r>
          </w:p>
        </w:tc>
        <w:tc>
          <w:tcPr>
            <w:tcW w:w="1198" w:type="dxa"/>
          </w:tcPr>
          <w:p w:rsidR="00BD0756" w:rsidRPr="00875208" w:rsidRDefault="00BD0756" w:rsidP="00BE0730">
            <w:pPr>
              <w:spacing w:after="0"/>
              <w:rPr>
                <w:sz w:val="24"/>
                <w:szCs w:val="24"/>
                <w:lang w:eastAsia="en-GB"/>
              </w:rPr>
            </w:pPr>
            <w:r w:rsidRPr="00875208">
              <w:rPr>
                <w:sz w:val="24"/>
                <w:szCs w:val="24"/>
                <w:lang w:eastAsia="en-GB"/>
              </w:rPr>
              <w:t>Aleksinac</w:t>
            </w:r>
          </w:p>
        </w:tc>
        <w:tc>
          <w:tcPr>
            <w:tcW w:w="1214" w:type="dxa"/>
          </w:tcPr>
          <w:p w:rsidR="00BD0756" w:rsidRPr="00875208" w:rsidRDefault="00BD0756" w:rsidP="00BE0730">
            <w:pPr>
              <w:spacing w:after="0"/>
              <w:contextualSpacing/>
              <w:rPr>
                <w:sz w:val="24"/>
                <w:szCs w:val="24"/>
                <w:lang w:eastAsia="en-GB"/>
              </w:rPr>
            </w:pPr>
            <w:r w:rsidRPr="00875208">
              <w:rPr>
                <w:sz w:val="24"/>
                <w:szCs w:val="24"/>
                <w:lang w:eastAsia="en-GB"/>
              </w:rPr>
              <w:t>Svrljig</w:t>
            </w:r>
          </w:p>
        </w:tc>
      </w:tr>
      <w:tr w:rsidR="00BD0756" w:rsidRPr="00875208" w:rsidTr="00BD0756">
        <w:tc>
          <w:tcPr>
            <w:tcW w:w="1532" w:type="dxa"/>
          </w:tcPr>
          <w:p w:rsidR="00BD0756" w:rsidRPr="00875208" w:rsidRDefault="00BD0756" w:rsidP="00BE0730">
            <w:pPr>
              <w:rPr>
                <w:sz w:val="24"/>
                <w:szCs w:val="24"/>
              </w:rPr>
            </w:pPr>
            <w:r w:rsidRPr="00875208">
              <w:rPr>
                <w:sz w:val="24"/>
                <w:szCs w:val="24"/>
              </w:rPr>
              <w:t>Nova Varoš</w:t>
            </w:r>
          </w:p>
        </w:tc>
        <w:tc>
          <w:tcPr>
            <w:tcW w:w="1437" w:type="dxa"/>
          </w:tcPr>
          <w:p w:rsidR="00BD0756" w:rsidRPr="00875208" w:rsidRDefault="00BD0756" w:rsidP="00BE0730">
            <w:pPr>
              <w:rPr>
                <w:sz w:val="24"/>
                <w:szCs w:val="24"/>
              </w:rPr>
            </w:pPr>
            <w:r w:rsidRPr="00875208">
              <w:rPr>
                <w:sz w:val="24"/>
                <w:szCs w:val="24"/>
              </w:rPr>
              <w:t>Blace</w:t>
            </w:r>
          </w:p>
        </w:tc>
        <w:tc>
          <w:tcPr>
            <w:tcW w:w="1331" w:type="dxa"/>
          </w:tcPr>
          <w:p w:rsidR="00BD0756" w:rsidRPr="00875208" w:rsidRDefault="00BD0756" w:rsidP="00BE0730">
            <w:pPr>
              <w:rPr>
                <w:sz w:val="24"/>
                <w:szCs w:val="24"/>
              </w:rPr>
            </w:pPr>
            <w:r w:rsidRPr="00875208">
              <w:rPr>
                <w:sz w:val="24"/>
                <w:szCs w:val="24"/>
              </w:rPr>
              <w:t>Lebane</w:t>
            </w:r>
          </w:p>
        </w:tc>
        <w:tc>
          <w:tcPr>
            <w:tcW w:w="1412" w:type="dxa"/>
          </w:tcPr>
          <w:p w:rsidR="00BD0756" w:rsidRPr="00875208" w:rsidRDefault="00BD0756" w:rsidP="00BE0730">
            <w:pPr>
              <w:rPr>
                <w:sz w:val="24"/>
                <w:szCs w:val="24"/>
              </w:rPr>
            </w:pPr>
            <w:r w:rsidRPr="00875208">
              <w:rPr>
                <w:sz w:val="24"/>
                <w:szCs w:val="24"/>
              </w:rPr>
              <w:t>Vladičin Han</w:t>
            </w:r>
          </w:p>
        </w:tc>
        <w:tc>
          <w:tcPr>
            <w:tcW w:w="1198" w:type="dxa"/>
          </w:tcPr>
          <w:p w:rsidR="00BD0756" w:rsidRPr="00875208" w:rsidRDefault="00BD0756" w:rsidP="00BE0730">
            <w:pPr>
              <w:spacing w:after="0"/>
              <w:rPr>
                <w:sz w:val="24"/>
                <w:szCs w:val="24"/>
                <w:lang w:eastAsia="en-GB"/>
              </w:rPr>
            </w:pPr>
            <w:r w:rsidRPr="00875208">
              <w:rPr>
                <w:sz w:val="24"/>
                <w:szCs w:val="24"/>
                <w:lang w:eastAsia="en-GB"/>
              </w:rPr>
              <w:t>Brus</w:t>
            </w:r>
          </w:p>
        </w:tc>
        <w:tc>
          <w:tcPr>
            <w:tcW w:w="1214" w:type="dxa"/>
          </w:tcPr>
          <w:p w:rsidR="00BD0756" w:rsidRPr="00875208" w:rsidRDefault="00BD0756" w:rsidP="00BE0730">
            <w:pPr>
              <w:spacing w:after="0"/>
              <w:contextualSpacing/>
              <w:rPr>
                <w:sz w:val="24"/>
                <w:szCs w:val="24"/>
                <w:lang w:eastAsia="en-GB"/>
              </w:rPr>
            </w:pPr>
            <w:r w:rsidRPr="00875208">
              <w:rPr>
                <w:sz w:val="24"/>
                <w:szCs w:val="24"/>
                <w:lang w:eastAsia="en-GB"/>
              </w:rPr>
              <w:t>Babusnica</w:t>
            </w:r>
          </w:p>
        </w:tc>
      </w:tr>
      <w:tr w:rsidR="00BD0756" w:rsidRPr="00875208" w:rsidTr="00BD0756">
        <w:tc>
          <w:tcPr>
            <w:tcW w:w="1532" w:type="dxa"/>
          </w:tcPr>
          <w:p w:rsidR="00BD0756" w:rsidRPr="00875208" w:rsidRDefault="00BD0756" w:rsidP="00BE0730">
            <w:pPr>
              <w:rPr>
                <w:sz w:val="24"/>
                <w:szCs w:val="24"/>
              </w:rPr>
            </w:pPr>
            <w:r w:rsidRPr="00875208">
              <w:rPr>
                <w:sz w:val="24"/>
                <w:szCs w:val="24"/>
              </w:rPr>
              <w:t>Priboj</w:t>
            </w:r>
          </w:p>
        </w:tc>
        <w:tc>
          <w:tcPr>
            <w:tcW w:w="1437" w:type="dxa"/>
          </w:tcPr>
          <w:p w:rsidR="00BD0756" w:rsidRPr="00875208" w:rsidRDefault="00BD0756" w:rsidP="00BE0730">
            <w:pPr>
              <w:rPr>
                <w:sz w:val="24"/>
                <w:szCs w:val="24"/>
              </w:rPr>
            </w:pPr>
            <w:r w:rsidRPr="00875208">
              <w:rPr>
                <w:sz w:val="24"/>
                <w:szCs w:val="24"/>
              </w:rPr>
              <w:t>Žitorađa</w:t>
            </w:r>
          </w:p>
        </w:tc>
        <w:tc>
          <w:tcPr>
            <w:tcW w:w="1331" w:type="dxa"/>
          </w:tcPr>
          <w:p w:rsidR="00BD0756" w:rsidRPr="00875208" w:rsidRDefault="00BD0756" w:rsidP="00BE0730">
            <w:pPr>
              <w:rPr>
                <w:sz w:val="24"/>
                <w:szCs w:val="24"/>
              </w:rPr>
            </w:pPr>
            <w:r w:rsidRPr="00875208">
              <w:rPr>
                <w:sz w:val="24"/>
                <w:szCs w:val="24"/>
              </w:rPr>
              <w:t>Leskovac</w:t>
            </w:r>
          </w:p>
        </w:tc>
        <w:tc>
          <w:tcPr>
            <w:tcW w:w="1412" w:type="dxa"/>
          </w:tcPr>
          <w:p w:rsidR="00BD0756" w:rsidRPr="00875208" w:rsidRDefault="00BD0756" w:rsidP="00BE0730">
            <w:pPr>
              <w:rPr>
                <w:sz w:val="24"/>
                <w:szCs w:val="24"/>
              </w:rPr>
            </w:pPr>
            <w:r w:rsidRPr="00875208">
              <w:rPr>
                <w:sz w:val="24"/>
                <w:szCs w:val="24"/>
              </w:rPr>
              <w:t>Vranje</w:t>
            </w:r>
          </w:p>
        </w:tc>
        <w:tc>
          <w:tcPr>
            <w:tcW w:w="1198" w:type="dxa"/>
          </w:tcPr>
          <w:p w:rsidR="00BD0756" w:rsidRPr="00875208" w:rsidRDefault="00BD0756" w:rsidP="00BE0730">
            <w:pPr>
              <w:spacing w:after="0"/>
              <w:rPr>
                <w:sz w:val="24"/>
                <w:szCs w:val="24"/>
                <w:lang w:eastAsia="en-GB"/>
              </w:rPr>
            </w:pPr>
            <w:r w:rsidRPr="00875208">
              <w:rPr>
                <w:sz w:val="24"/>
                <w:szCs w:val="24"/>
                <w:lang w:eastAsia="en-GB"/>
              </w:rPr>
              <w:t>Doljevac</w:t>
            </w:r>
          </w:p>
        </w:tc>
        <w:tc>
          <w:tcPr>
            <w:tcW w:w="1214" w:type="dxa"/>
          </w:tcPr>
          <w:p w:rsidR="00BD0756" w:rsidRPr="00875208" w:rsidRDefault="00BD0756" w:rsidP="00BE0730">
            <w:pPr>
              <w:spacing w:after="0"/>
              <w:contextualSpacing/>
              <w:rPr>
                <w:sz w:val="24"/>
                <w:szCs w:val="24"/>
                <w:lang w:eastAsia="en-GB"/>
              </w:rPr>
            </w:pPr>
            <w:r w:rsidRPr="00875208">
              <w:rPr>
                <w:sz w:val="24"/>
                <w:szCs w:val="24"/>
                <w:lang w:eastAsia="en-GB"/>
              </w:rPr>
              <w:t>BelaPalanka</w:t>
            </w:r>
          </w:p>
        </w:tc>
      </w:tr>
      <w:tr w:rsidR="00BD0756" w:rsidRPr="00875208" w:rsidTr="00BD0756">
        <w:tc>
          <w:tcPr>
            <w:tcW w:w="1532"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Prijepolje</w:t>
            </w:r>
          </w:p>
        </w:tc>
        <w:tc>
          <w:tcPr>
            <w:tcW w:w="1437"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Kuršumlija</w:t>
            </w:r>
          </w:p>
        </w:tc>
        <w:tc>
          <w:tcPr>
            <w:tcW w:w="1331"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Medveđa</w:t>
            </w:r>
          </w:p>
        </w:tc>
        <w:tc>
          <w:tcPr>
            <w:tcW w:w="1412"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Preševo</w:t>
            </w:r>
          </w:p>
        </w:tc>
        <w:tc>
          <w:tcPr>
            <w:tcW w:w="1198"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spacing w:after="0"/>
              <w:rPr>
                <w:sz w:val="24"/>
                <w:szCs w:val="24"/>
                <w:lang w:eastAsia="en-GB"/>
              </w:rPr>
            </w:pPr>
            <w:r w:rsidRPr="00875208">
              <w:rPr>
                <w:sz w:val="24"/>
                <w:szCs w:val="24"/>
                <w:lang w:eastAsia="en-GB"/>
              </w:rPr>
              <w:t>Gadzin Han</w:t>
            </w:r>
          </w:p>
        </w:tc>
        <w:tc>
          <w:tcPr>
            <w:tcW w:w="1214"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spacing w:after="0"/>
              <w:contextualSpacing/>
              <w:rPr>
                <w:sz w:val="24"/>
                <w:szCs w:val="24"/>
                <w:lang w:eastAsia="en-GB"/>
              </w:rPr>
            </w:pPr>
          </w:p>
        </w:tc>
      </w:tr>
      <w:tr w:rsidR="00BD0756" w:rsidRPr="00875208" w:rsidTr="00BD0756">
        <w:trPr>
          <w:trHeight w:val="64"/>
        </w:trPr>
        <w:tc>
          <w:tcPr>
            <w:tcW w:w="1532"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Sjenica</w:t>
            </w:r>
          </w:p>
        </w:tc>
        <w:tc>
          <w:tcPr>
            <w:tcW w:w="1437"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Prokuplje</w:t>
            </w:r>
          </w:p>
        </w:tc>
        <w:tc>
          <w:tcPr>
            <w:tcW w:w="1331"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CrnaTrava</w:t>
            </w:r>
          </w:p>
        </w:tc>
        <w:tc>
          <w:tcPr>
            <w:tcW w:w="1412"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rPr>
                <w:sz w:val="24"/>
                <w:szCs w:val="24"/>
              </w:rPr>
            </w:pPr>
            <w:r w:rsidRPr="00875208">
              <w:rPr>
                <w:sz w:val="24"/>
                <w:szCs w:val="24"/>
              </w:rPr>
              <w:t>Surdulica</w:t>
            </w:r>
          </w:p>
        </w:tc>
        <w:tc>
          <w:tcPr>
            <w:tcW w:w="1198"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spacing w:after="0"/>
              <w:rPr>
                <w:sz w:val="24"/>
                <w:szCs w:val="24"/>
                <w:lang w:eastAsia="en-GB"/>
              </w:rPr>
            </w:pPr>
            <w:r w:rsidRPr="00875208">
              <w:rPr>
                <w:sz w:val="24"/>
                <w:szCs w:val="24"/>
                <w:lang w:eastAsia="en-GB"/>
              </w:rPr>
              <w:t>Merosina</w:t>
            </w:r>
          </w:p>
        </w:tc>
        <w:tc>
          <w:tcPr>
            <w:tcW w:w="1214" w:type="dxa"/>
            <w:tcBorders>
              <w:top w:val="single" w:sz="4" w:space="0" w:color="auto"/>
              <w:left w:val="single" w:sz="4" w:space="0" w:color="auto"/>
              <w:bottom w:val="single" w:sz="4" w:space="0" w:color="auto"/>
              <w:right w:val="single" w:sz="4" w:space="0" w:color="auto"/>
            </w:tcBorders>
          </w:tcPr>
          <w:p w:rsidR="00BD0756" w:rsidRPr="00875208" w:rsidRDefault="00BD0756" w:rsidP="00BE0730">
            <w:pPr>
              <w:spacing w:after="0"/>
              <w:contextualSpacing/>
              <w:rPr>
                <w:sz w:val="24"/>
                <w:szCs w:val="24"/>
                <w:lang w:eastAsia="en-GB"/>
              </w:rPr>
            </w:pPr>
          </w:p>
        </w:tc>
      </w:tr>
    </w:tbl>
    <w:p w:rsidR="00A327B3" w:rsidRPr="00875208" w:rsidRDefault="00A327B3" w:rsidP="006B6048">
      <w:pPr>
        <w:rPr>
          <w:sz w:val="24"/>
          <w:szCs w:val="24"/>
          <w:u w:val="single"/>
        </w:rPr>
      </w:pPr>
    </w:p>
    <w:p w:rsidR="0007408E" w:rsidRPr="00875208" w:rsidRDefault="0007408E" w:rsidP="006B6048">
      <w:pPr>
        <w:rPr>
          <w:sz w:val="24"/>
          <w:szCs w:val="24"/>
          <w:u w:val="single"/>
        </w:rPr>
      </w:pPr>
      <w:r w:rsidRPr="00875208">
        <w:rPr>
          <w:sz w:val="24"/>
          <w:szCs w:val="24"/>
          <w:u w:val="single"/>
        </w:rPr>
        <w:t>Type</w:t>
      </w:r>
      <w:r w:rsidR="0001485A" w:rsidRPr="00875208">
        <w:rPr>
          <w:sz w:val="24"/>
          <w:szCs w:val="24"/>
          <w:u w:val="single"/>
        </w:rPr>
        <w:t>s</w:t>
      </w:r>
      <w:r w:rsidRPr="00875208">
        <w:rPr>
          <w:sz w:val="24"/>
          <w:szCs w:val="24"/>
          <w:u w:val="single"/>
        </w:rPr>
        <w:t xml:space="preserve"> of action</w:t>
      </w:r>
      <w:r w:rsidR="002537E7">
        <w:rPr>
          <w:sz w:val="24"/>
          <w:szCs w:val="24"/>
          <w:u w:val="single"/>
        </w:rPr>
        <w:t>s</w:t>
      </w:r>
    </w:p>
    <w:p w:rsidR="00C0480E" w:rsidRDefault="00C0480E" w:rsidP="00C0480E">
      <w:pPr>
        <w:rPr>
          <w:sz w:val="24"/>
          <w:szCs w:val="24"/>
        </w:rPr>
      </w:pPr>
      <w:r w:rsidRPr="00875208">
        <w:rPr>
          <w:sz w:val="24"/>
          <w:szCs w:val="24"/>
        </w:rPr>
        <w:t xml:space="preserve">Projects must be </w:t>
      </w:r>
      <w:r w:rsidR="00235863">
        <w:rPr>
          <w:sz w:val="24"/>
          <w:szCs w:val="24"/>
        </w:rPr>
        <w:t xml:space="preserve">infrastructure, </w:t>
      </w:r>
      <w:r w:rsidRPr="00875208">
        <w:rPr>
          <w:sz w:val="24"/>
          <w:szCs w:val="24"/>
        </w:rPr>
        <w:t xml:space="preserve">municipal or inter municipal in nature, i.e. they must produce </w:t>
      </w:r>
      <w:r w:rsidR="005148EE">
        <w:rPr>
          <w:sz w:val="24"/>
          <w:szCs w:val="24"/>
        </w:rPr>
        <w:t>impact</w:t>
      </w:r>
      <w:r w:rsidR="001F0936">
        <w:rPr>
          <w:sz w:val="24"/>
          <w:szCs w:val="24"/>
        </w:rPr>
        <w:t xml:space="preserve"> </w:t>
      </w:r>
      <w:r w:rsidRPr="00875208">
        <w:rPr>
          <w:sz w:val="24"/>
          <w:szCs w:val="24"/>
        </w:rPr>
        <w:t>affecting individual or groups of municipalities.</w:t>
      </w:r>
    </w:p>
    <w:p w:rsidR="00C36E9A" w:rsidRDefault="00C36E9A" w:rsidP="00C0480E">
      <w:pPr>
        <w:rPr>
          <w:sz w:val="24"/>
          <w:szCs w:val="24"/>
        </w:rPr>
      </w:pPr>
    </w:p>
    <w:p w:rsidR="00C36E9A" w:rsidRPr="00875208" w:rsidRDefault="00C36E9A" w:rsidP="00C0480E">
      <w:pPr>
        <w:rPr>
          <w:sz w:val="24"/>
          <w:szCs w:val="24"/>
        </w:rPr>
      </w:pPr>
    </w:p>
    <w:p w:rsidR="00BC1EC6" w:rsidRPr="007B7091" w:rsidRDefault="00DB398B" w:rsidP="002941A9">
      <w:pPr>
        <w:pStyle w:val="Text1"/>
        <w:ind w:left="0"/>
        <w:outlineLvl w:val="0"/>
        <w:rPr>
          <w:b/>
          <w:sz w:val="24"/>
          <w:szCs w:val="24"/>
        </w:rPr>
      </w:pPr>
      <w:r w:rsidRPr="002537E7">
        <w:rPr>
          <w:b/>
          <w:sz w:val="24"/>
          <w:szCs w:val="24"/>
        </w:rPr>
        <w:lastRenderedPageBreak/>
        <w:t>For Lot</w:t>
      </w:r>
      <w:r w:rsidRPr="00875208">
        <w:rPr>
          <w:sz w:val="24"/>
          <w:szCs w:val="24"/>
        </w:rPr>
        <w:t xml:space="preserve"> 1-</w:t>
      </w:r>
      <w:r w:rsidR="00235863">
        <w:rPr>
          <w:b/>
          <w:sz w:val="24"/>
          <w:szCs w:val="24"/>
        </w:rPr>
        <w:t xml:space="preserve"> </w:t>
      </w:r>
      <w:r w:rsidR="00235863" w:rsidRPr="007B7091">
        <w:rPr>
          <w:sz w:val="24"/>
          <w:szCs w:val="24"/>
        </w:rPr>
        <w:t>Local infrastructure projects aiming at improvement of living conditions</w:t>
      </w:r>
    </w:p>
    <w:p w:rsidR="003C502B" w:rsidRPr="00010DAE" w:rsidRDefault="00616257" w:rsidP="000C12B2">
      <w:pPr>
        <w:spacing w:after="240"/>
        <w:rPr>
          <w:sz w:val="24"/>
          <w:szCs w:val="24"/>
        </w:rPr>
      </w:pPr>
      <w:r w:rsidRPr="00010DAE">
        <w:rPr>
          <w:sz w:val="24"/>
          <w:szCs w:val="24"/>
        </w:rPr>
        <w:t>All infrastructure projects (i.e. construction or reconstruction projects, including purchase of equipment with proven direct link to infrastructure improvement), that will contribute to better living conditions</w:t>
      </w:r>
      <w:r w:rsidR="000C12B2" w:rsidRPr="00010DAE">
        <w:rPr>
          <w:sz w:val="24"/>
          <w:szCs w:val="24"/>
        </w:rPr>
        <w:t xml:space="preserve"> of citizens are eligible for this call for proposal.</w:t>
      </w:r>
      <w:r w:rsidR="003C502B" w:rsidRPr="00010DAE">
        <w:rPr>
          <w:sz w:val="24"/>
          <w:szCs w:val="24"/>
        </w:rPr>
        <w:t xml:space="preserve"> The following types of actions are </w:t>
      </w:r>
      <w:r w:rsidR="003C502B" w:rsidRPr="00010DAE">
        <w:rPr>
          <w:b/>
          <w:sz w:val="24"/>
          <w:szCs w:val="24"/>
        </w:rPr>
        <w:t>among other</w:t>
      </w:r>
      <w:r w:rsidR="003C502B" w:rsidRPr="00010DAE">
        <w:rPr>
          <w:sz w:val="24"/>
          <w:szCs w:val="24"/>
        </w:rPr>
        <w:t xml:space="preserve"> eligible under this lot:</w:t>
      </w:r>
      <w:r w:rsidR="000C12B2" w:rsidRPr="00010DAE">
        <w:rPr>
          <w:sz w:val="24"/>
          <w:szCs w:val="24"/>
        </w:rPr>
        <w:t xml:space="preserve"> </w:t>
      </w:r>
    </w:p>
    <w:p w:rsidR="004F724F" w:rsidRPr="004F724F" w:rsidRDefault="00CB6482" w:rsidP="004F724F">
      <w:pPr>
        <w:pStyle w:val="ListParagraph"/>
        <w:numPr>
          <w:ilvl w:val="0"/>
          <w:numId w:val="42"/>
        </w:numPr>
        <w:spacing w:after="240"/>
        <w:rPr>
          <w:i/>
          <w:sz w:val="24"/>
          <w:szCs w:val="24"/>
          <w:u w:val="single"/>
        </w:rPr>
      </w:pPr>
      <w:r w:rsidRPr="004F724F">
        <w:rPr>
          <w:sz w:val="24"/>
          <w:szCs w:val="24"/>
        </w:rPr>
        <w:t xml:space="preserve">Environment protection, improvement of solid waste management, waste water treatment, reduction of pollution and energy efficiency projects. </w:t>
      </w:r>
    </w:p>
    <w:p w:rsidR="00616257" w:rsidRPr="004F724F" w:rsidRDefault="00CB6482" w:rsidP="004F724F">
      <w:pPr>
        <w:pStyle w:val="ListParagraph"/>
        <w:numPr>
          <w:ilvl w:val="0"/>
          <w:numId w:val="42"/>
        </w:numPr>
        <w:spacing w:after="240"/>
        <w:rPr>
          <w:i/>
          <w:sz w:val="24"/>
          <w:szCs w:val="24"/>
          <w:u w:val="single"/>
        </w:rPr>
      </w:pPr>
      <w:r w:rsidRPr="004F724F">
        <w:rPr>
          <w:sz w:val="24"/>
          <w:szCs w:val="24"/>
        </w:rPr>
        <w:t>Actions aiming at improvement of living conditions for vulnerable groups, including Roma, through advancing and upgrading of existing soc</w:t>
      </w:r>
      <w:r w:rsidR="007B7091" w:rsidRPr="004F724F">
        <w:rPr>
          <w:sz w:val="24"/>
          <w:szCs w:val="24"/>
        </w:rPr>
        <w:t>ial and communal infrastructure</w:t>
      </w:r>
      <w:r w:rsidRPr="004F724F">
        <w:rPr>
          <w:sz w:val="24"/>
          <w:szCs w:val="24"/>
        </w:rPr>
        <w:t>.</w:t>
      </w:r>
      <w:r w:rsidRPr="004F724F">
        <w:rPr>
          <w:snapToGrid/>
          <w:sz w:val="24"/>
          <w:szCs w:val="24"/>
          <w:lang w:val="en-US"/>
        </w:rPr>
        <w:t xml:space="preserve"> </w:t>
      </w:r>
    </w:p>
    <w:p w:rsidR="002537E7" w:rsidRPr="00251000" w:rsidRDefault="002537E7" w:rsidP="002537E7">
      <w:pPr>
        <w:autoSpaceDE w:val="0"/>
        <w:autoSpaceDN w:val="0"/>
        <w:spacing w:before="100" w:beforeAutospacing="1" w:after="100" w:afterAutospacing="1"/>
        <w:jc w:val="left"/>
        <w:rPr>
          <w:snapToGrid/>
          <w:sz w:val="24"/>
          <w:szCs w:val="24"/>
          <w:lang w:val="en-US"/>
        </w:rPr>
      </w:pPr>
      <w:r w:rsidRPr="00251000">
        <w:rPr>
          <w:snapToGrid/>
          <w:sz w:val="24"/>
          <w:szCs w:val="24"/>
          <w:lang w:val="en-US"/>
        </w:rPr>
        <w:t>Indicators for Lot 1:</w:t>
      </w:r>
    </w:p>
    <w:p w:rsidR="002537E7" w:rsidRPr="00251000" w:rsidRDefault="00616257" w:rsidP="00904785">
      <w:pPr>
        <w:numPr>
          <w:ilvl w:val="0"/>
          <w:numId w:val="19"/>
        </w:numPr>
        <w:autoSpaceDE w:val="0"/>
        <w:autoSpaceDN w:val="0"/>
        <w:spacing w:before="100" w:beforeAutospacing="1" w:after="100" w:afterAutospacing="1"/>
        <w:jc w:val="left"/>
        <w:rPr>
          <w:snapToGrid/>
          <w:sz w:val="24"/>
          <w:szCs w:val="24"/>
          <w:lang w:val="en-US"/>
        </w:rPr>
      </w:pPr>
      <w:r>
        <w:rPr>
          <w:snapToGrid/>
          <w:sz w:val="24"/>
          <w:szCs w:val="24"/>
          <w:lang w:val="en-US"/>
        </w:rPr>
        <w:t>Number</w:t>
      </w:r>
      <w:r w:rsidR="00251000" w:rsidRPr="00251000">
        <w:rPr>
          <w:snapToGrid/>
          <w:sz w:val="24"/>
          <w:szCs w:val="24"/>
          <w:lang w:val="en-US"/>
        </w:rPr>
        <w:t xml:space="preserve"> of available</w:t>
      </w:r>
      <w:r w:rsidR="00251000">
        <w:rPr>
          <w:snapToGrid/>
          <w:sz w:val="24"/>
          <w:szCs w:val="24"/>
          <w:lang w:val="en-US"/>
        </w:rPr>
        <w:t>/improved</w:t>
      </w:r>
      <w:r w:rsidR="00251000" w:rsidRPr="00251000">
        <w:rPr>
          <w:snapToGrid/>
          <w:sz w:val="24"/>
          <w:szCs w:val="24"/>
          <w:lang w:val="en-US"/>
        </w:rPr>
        <w:t xml:space="preserve"> educational </w:t>
      </w:r>
      <w:r>
        <w:rPr>
          <w:snapToGrid/>
          <w:sz w:val="24"/>
          <w:szCs w:val="24"/>
          <w:lang w:val="en-US"/>
        </w:rPr>
        <w:t>facilities</w:t>
      </w:r>
    </w:p>
    <w:p w:rsidR="002537E7" w:rsidRPr="00251000" w:rsidRDefault="002537E7" w:rsidP="00904785">
      <w:pPr>
        <w:numPr>
          <w:ilvl w:val="0"/>
          <w:numId w:val="19"/>
        </w:numPr>
        <w:autoSpaceDE w:val="0"/>
        <w:autoSpaceDN w:val="0"/>
        <w:spacing w:before="100" w:beforeAutospacing="1" w:after="100" w:afterAutospacing="1"/>
        <w:jc w:val="left"/>
        <w:rPr>
          <w:snapToGrid/>
          <w:sz w:val="24"/>
          <w:szCs w:val="24"/>
          <w:lang w:val="en-US"/>
        </w:rPr>
      </w:pPr>
      <w:r w:rsidRPr="00251000">
        <w:rPr>
          <w:snapToGrid/>
          <w:sz w:val="24"/>
          <w:szCs w:val="24"/>
          <w:lang w:val="en-US"/>
        </w:rPr>
        <w:t xml:space="preserve">Number of public institution buildings enabled for full accessibility for physically impaired persons </w:t>
      </w:r>
    </w:p>
    <w:p w:rsidR="002537E7" w:rsidRPr="00251000" w:rsidRDefault="00616257" w:rsidP="00904785">
      <w:pPr>
        <w:numPr>
          <w:ilvl w:val="0"/>
          <w:numId w:val="19"/>
        </w:numPr>
        <w:autoSpaceDE w:val="0"/>
        <w:autoSpaceDN w:val="0"/>
        <w:spacing w:before="100" w:beforeAutospacing="1" w:after="100" w:afterAutospacing="1"/>
        <w:jc w:val="left"/>
        <w:rPr>
          <w:snapToGrid/>
          <w:sz w:val="24"/>
          <w:szCs w:val="24"/>
          <w:lang w:val="en-US"/>
        </w:rPr>
      </w:pPr>
      <w:r>
        <w:rPr>
          <w:snapToGrid/>
          <w:sz w:val="24"/>
          <w:szCs w:val="24"/>
          <w:lang w:val="en-US"/>
        </w:rPr>
        <w:t xml:space="preserve">Number </w:t>
      </w:r>
      <w:r w:rsidR="00251000" w:rsidRPr="00251000">
        <w:rPr>
          <w:snapToGrid/>
          <w:sz w:val="24"/>
          <w:szCs w:val="24"/>
          <w:lang w:val="en-US"/>
        </w:rPr>
        <w:t xml:space="preserve">of </w:t>
      </w:r>
      <w:r w:rsidR="002537E7" w:rsidRPr="00251000">
        <w:rPr>
          <w:snapToGrid/>
          <w:sz w:val="24"/>
          <w:szCs w:val="24"/>
          <w:lang w:val="en-US"/>
        </w:rPr>
        <w:t>user coverage with water supply/ sewage system</w:t>
      </w:r>
      <w:r w:rsidR="00251000">
        <w:rPr>
          <w:snapToGrid/>
          <w:sz w:val="24"/>
          <w:szCs w:val="24"/>
          <w:lang w:val="en-US"/>
        </w:rPr>
        <w:t xml:space="preserve"> or percentage of improved quality of water supply/sewage system  </w:t>
      </w:r>
      <w:r w:rsidR="002537E7" w:rsidRPr="00251000">
        <w:rPr>
          <w:snapToGrid/>
          <w:sz w:val="24"/>
          <w:szCs w:val="24"/>
          <w:lang w:val="en-US"/>
        </w:rPr>
        <w:t xml:space="preserve"> </w:t>
      </w:r>
    </w:p>
    <w:p w:rsidR="00842C09" w:rsidRPr="00A845C4" w:rsidRDefault="00616257" w:rsidP="00904785">
      <w:pPr>
        <w:numPr>
          <w:ilvl w:val="0"/>
          <w:numId w:val="19"/>
        </w:numPr>
        <w:autoSpaceDE w:val="0"/>
        <w:autoSpaceDN w:val="0"/>
        <w:spacing w:before="100" w:beforeAutospacing="1" w:after="100" w:afterAutospacing="1"/>
        <w:jc w:val="left"/>
        <w:rPr>
          <w:snapToGrid/>
          <w:sz w:val="24"/>
          <w:szCs w:val="24"/>
          <w:lang w:val="en-US"/>
        </w:rPr>
      </w:pPr>
      <w:r w:rsidRPr="00A845C4">
        <w:rPr>
          <w:sz w:val="24"/>
          <w:szCs w:val="24"/>
        </w:rPr>
        <w:t>Number of users of health services served in new improved health care facilities</w:t>
      </w:r>
    </w:p>
    <w:p w:rsidR="002537E7" w:rsidRPr="00251000" w:rsidRDefault="00842C09" w:rsidP="00904785">
      <w:pPr>
        <w:numPr>
          <w:ilvl w:val="0"/>
          <w:numId w:val="19"/>
        </w:numPr>
        <w:autoSpaceDE w:val="0"/>
        <w:autoSpaceDN w:val="0"/>
        <w:spacing w:before="100" w:beforeAutospacing="1" w:after="100" w:afterAutospacing="1"/>
        <w:jc w:val="left"/>
        <w:rPr>
          <w:snapToGrid/>
          <w:sz w:val="24"/>
          <w:szCs w:val="24"/>
          <w:lang w:val="en-US"/>
        </w:rPr>
      </w:pPr>
      <w:r>
        <w:rPr>
          <w:snapToGrid/>
          <w:sz w:val="24"/>
          <w:szCs w:val="24"/>
          <w:lang w:val="en-US"/>
        </w:rPr>
        <w:t xml:space="preserve">Number of public buildings that satisfy energy efficiency standards </w:t>
      </w:r>
      <w:r w:rsidR="002537E7" w:rsidRPr="00251000">
        <w:rPr>
          <w:snapToGrid/>
          <w:sz w:val="24"/>
          <w:szCs w:val="24"/>
          <w:lang w:val="en-US"/>
        </w:rPr>
        <w:t xml:space="preserve"> </w:t>
      </w:r>
    </w:p>
    <w:p w:rsidR="002537E7" w:rsidRDefault="00251000" w:rsidP="00904785">
      <w:pPr>
        <w:numPr>
          <w:ilvl w:val="0"/>
          <w:numId w:val="19"/>
        </w:numPr>
        <w:autoSpaceDE w:val="0"/>
        <w:autoSpaceDN w:val="0"/>
        <w:spacing w:before="100" w:beforeAutospacing="1" w:after="100" w:afterAutospacing="1"/>
        <w:jc w:val="left"/>
        <w:rPr>
          <w:snapToGrid/>
          <w:sz w:val="24"/>
          <w:szCs w:val="24"/>
          <w:lang w:val="en-US"/>
        </w:rPr>
      </w:pPr>
      <w:r w:rsidRPr="00251000">
        <w:rPr>
          <w:snapToGrid/>
          <w:sz w:val="24"/>
          <w:szCs w:val="24"/>
          <w:lang w:val="en-US"/>
        </w:rPr>
        <w:t>Percentage of separated waste</w:t>
      </w:r>
    </w:p>
    <w:p w:rsidR="00251000" w:rsidRDefault="00251000" w:rsidP="00904785">
      <w:pPr>
        <w:numPr>
          <w:ilvl w:val="0"/>
          <w:numId w:val="19"/>
        </w:numPr>
        <w:autoSpaceDE w:val="0"/>
        <w:autoSpaceDN w:val="0"/>
        <w:spacing w:before="100" w:beforeAutospacing="1" w:after="100" w:afterAutospacing="1"/>
        <w:jc w:val="left"/>
        <w:rPr>
          <w:snapToGrid/>
          <w:sz w:val="24"/>
          <w:szCs w:val="24"/>
          <w:lang w:val="en-US"/>
        </w:rPr>
      </w:pPr>
      <w:r>
        <w:rPr>
          <w:snapToGrid/>
          <w:sz w:val="24"/>
          <w:szCs w:val="24"/>
          <w:lang w:val="en-US"/>
        </w:rPr>
        <w:t>Number of closed waste dumping sites</w:t>
      </w:r>
    </w:p>
    <w:p w:rsidR="00842C09" w:rsidRPr="00CA0E5F" w:rsidRDefault="00842C09" w:rsidP="00CA0E5F">
      <w:pPr>
        <w:numPr>
          <w:ilvl w:val="0"/>
          <w:numId w:val="19"/>
        </w:numPr>
        <w:autoSpaceDE w:val="0"/>
        <w:autoSpaceDN w:val="0"/>
        <w:spacing w:before="100" w:beforeAutospacing="1" w:after="100" w:afterAutospacing="1"/>
        <w:jc w:val="left"/>
        <w:rPr>
          <w:snapToGrid/>
          <w:sz w:val="24"/>
          <w:szCs w:val="24"/>
          <w:lang w:val="en-US"/>
        </w:rPr>
      </w:pPr>
      <w:r>
        <w:rPr>
          <w:snapToGrid/>
          <w:sz w:val="24"/>
          <w:szCs w:val="24"/>
          <w:lang w:val="en-US"/>
        </w:rPr>
        <w:t>Amount of waste removed from rivers</w:t>
      </w:r>
    </w:p>
    <w:p w:rsidR="00DB398B" w:rsidRPr="007B7091" w:rsidRDefault="00F21752" w:rsidP="007B7091">
      <w:pPr>
        <w:pStyle w:val="Text1"/>
        <w:ind w:left="0"/>
        <w:outlineLvl w:val="0"/>
        <w:rPr>
          <w:sz w:val="24"/>
          <w:szCs w:val="24"/>
        </w:rPr>
      </w:pPr>
      <w:r w:rsidRPr="007B7091">
        <w:rPr>
          <w:b/>
          <w:sz w:val="24"/>
          <w:szCs w:val="24"/>
        </w:rPr>
        <w:t xml:space="preserve">For Lot 2- </w:t>
      </w:r>
      <w:r w:rsidR="00235863" w:rsidRPr="007B7091">
        <w:rPr>
          <w:sz w:val="24"/>
          <w:szCs w:val="24"/>
        </w:rPr>
        <w:t>Local infrastructure projects contributing to economic development</w:t>
      </w:r>
    </w:p>
    <w:p w:rsidR="00CE52CF" w:rsidRPr="00875208" w:rsidRDefault="00CE52CF" w:rsidP="00F21752">
      <w:pPr>
        <w:pStyle w:val="Text1"/>
        <w:ind w:left="360"/>
        <w:outlineLvl w:val="0"/>
        <w:rPr>
          <w:sz w:val="24"/>
          <w:szCs w:val="24"/>
        </w:rPr>
      </w:pPr>
      <w:r>
        <w:rPr>
          <w:sz w:val="24"/>
          <w:szCs w:val="24"/>
        </w:rPr>
        <w:t xml:space="preserve">The following types of actions are </w:t>
      </w:r>
      <w:r w:rsidRPr="003C502B">
        <w:rPr>
          <w:b/>
          <w:sz w:val="24"/>
          <w:szCs w:val="24"/>
        </w:rPr>
        <w:t>among other</w:t>
      </w:r>
      <w:r>
        <w:rPr>
          <w:sz w:val="24"/>
          <w:szCs w:val="24"/>
        </w:rPr>
        <w:t xml:space="preserve"> eligible under this lot:</w:t>
      </w:r>
    </w:p>
    <w:p w:rsidR="000C12B2" w:rsidRPr="00875208" w:rsidRDefault="00CE52CF" w:rsidP="00AA2817">
      <w:pPr>
        <w:numPr>
          <w:ilvl w:val="0"/>
          <w:numId w:val="19"/>
        </w:numPr>
        <w:spacing w:after="0"/>
        <w:rPr>
          <w:i/>
          <w:sz w:val="24"/>
          <w:szCs w:val="24"/>
          <w:u w:val="single"/>
        </w:rPr>
      </w:pPr>
      <w:r w:rsidRPr="00A845C4">
        <w:rPr>
          <w:sz w:val="24"/>
          <w:szCs w:val="24"/>
        </w:rPr>
        <w:t>All infrastructure projects (i.e. construction or reconstruction projects, including purchase of equipment with proven direct link to infrastructure improvement)</w:t>
      </w:r>
      <w:r>
        <w:t xml:space="preserve"> </w:t>
      </w:r>
      <w:r w:rsidR="000C12B2" w:rsidRPr="00875208">
        <w:rPr>
          <w:sz w:val="24"/>
          <w:szCs w:val="24"/>
        </w:rPr>
        <w:t xml:space="preserve">that are contributing to establishment of conditions for development of new businesses and attraction </w:t>
      </w:r>
      <w:r w:rsidR="000369C2">
        <w:rPr>
          <w:sz w:val="24"/>
          <w:szCs w:val="24"/>
        </w:rPr>
        <w:t>of</w:t>
      </w:r>
      <w:r w:rsidR="000C12B2">
        <w:rPr>
          <w:sz w:val="24"/>
          <w:szCs w:val="24"/>
        </w:rPr>
        <w:t xml:space="preserve"> </w:t>
      </w:r>
      <w:r w:rsidR="000C12B2" w:rsidRPr="00875208">
        <w:rPr>
          <w:sz w:val="24"/>
          <w:szCs w:val="24"/>
        </w:rPr>
        <w:t>investments</w:t>
      </w:r>
      <w:r w:rsidR="00D84EAD">
        <w:rPr>
          <w:sz w:val="24"/>
          <w:szCs w:val="24"/>
        </w:rPr>
        <w:t xml:space="preserve"> are eligible for this action. F</w:t>
      </w:r>
      <w:r w:rsidR="000369C2">
        <w:rPr>
          <w:sz w:val="24"/>
          <w:szCs w:val="24"/>
        </w:rPr>
        <w:t>or example business support facilities: business incubators, information centres, business development centres, laboratories and research facilities, technology centres</w:t>
      </w:r>
      <w:r w:rsidR="00D84EAD">
        <w:rPr>
          <w:sz w:val="24"/>
          <w:szCs w:val="24"/>
        </w:rPr>
        <w:t>.</w:t>
      </w:r>
    </w:p>
    <w:p w:rsidR="000C12B2" w:rsidRPr="000369C2" w:rsidRDefault="000369C2" w:rsidP="00AA2817">
      <w:pPr>
        <w:numPr>
          <w:ilvl w:val="0"/>
          <w:numId w:val="19"/>
        </w:numPr>
        <w:spacing w:after="0"/>
        <w:rPr>
          <w:sz w:val="24"/>
          <w:szCs w:val="24"/>
        </w:rPr>
      </w:pPr>
      <w:r>
        <w:rPr>
          <w:sz w:val="24"/>
          <w:szCs w:val="24"/>
        </w:rPr>
        <w:t xml:space="preserve">Infrastructure </w:t>
      </w:r>
      <w:r w:rsidR="00D84EAD">
        <w:rPr>
          <w:sz w:val="24"/>
          <w:szCs w:val="24"/>
        </w:rPr>
        <w:t xml:space="preserve">construction and procurement </w:t>
      </w:r>
      <w:r>
        <w:rPr>
          <w:sz w:val="24"/>
          <w:szCs w:val="24"/>
        </w:rPr>
        <w:t>p</w:t>
      </w:r>
      <w:r w:rsidR="000C12B2" w:rsidRPr="000369C2">
        <w:rPr>
          <w:sz w:val="24"/>
          <w:szCs w:val="24"/>
        </w:rPr>
        <w:t>rojects aim</w:t>
      </w:r>
      <w:r w:rsidR="00D84EAD">
        <w:rPr>
          <w:sz w:val="24"/>
          <w:szCs w:val="24"/>
        </w:rPr>
        <w:t>ing</w:t>
      </w:r>
      <w:r w:rsidR="000C12B2" w:rsidRPr="000369C2">
        <w:rPr>
          <w:sz w:val="24"/>
          <w:szCs w:val="24"/>
        </w:rPr>
        <w:t xml:space="preserve"> towards rehabilitation of</w:t>
      </w:r>
      <w:r w:rsidR="00D84EAD">
        <w:rPr>
          <w:sz w:val="24"/>
          <w:szCs w:val="24"/>
        </w:rPr>
        <w:t xml:space="preserve"> </w:t>
      </w:r>
      <w:r w:rsidR="000C12B2" w:rsidRPr="000369C2">
        <w:rPr>
          <w:sz w:val="24"/>
          <w:szCs w:val="24"/>
        </w:rPr>
        <w:t xml:space="preserve"> Brownfield sites are eligible for this action</w:t>
      </w:r>
    </w:p>
    <w:p w:rsidR="000C12B2" w:rsidRDefault="000C12B2" w:rsidP="00904785">
      <w:pPr>
        <w:numPr>
          <w:ilvl w:val="0"/>
          <w:numId w:val="19"/>
        </w:numPr>
        <w:spacing w:after="240"/>
        <w:rPr>
          <w:sz w:val="24"/>
          <w:szCs w:val="24"/>
          <w:u w:val="single"/>
        </w:rPr>
      </w:pPr>
      <w:r>
        <w:rPr>
          <w:sz w:val="24"/>
          <w:szCs w:val="24"/>
        </w:rPr>
        <w:t>C</w:t>
      </w:r>
      <w:r w:rsidRPr="00A714DE">
        <w:rPr>
          <w:sz w:val="24"/>
          <w:szCs w:val="24"/>
        </w:rPr>
        <w:t>ommunal equipping of Greenfield sites and improvement of infrastructure conditions in the existing industrial zones</w:t>
      </w:r>
      <w:r w:rsidR="00D84EAD">
        <w:rPr>
          <w:sz w:val="24"/>
          <w:szCs w:val="24"/>
        </w:rPr>
        <w:t xml:space="preserve"> are eligible under this call</w:t>
      </w:r>
    </w:p>
    <w:p w:rsidR="002537E7" w:rsidRPr="00842C09" w:rsidRDefault="002537E7" w:rsidP="00842C09">
      <w:pPr>
        <w:spacing w:after="240"/>
        <w:ind w:left="360"/>
        <w:rPr>
          <w:sz w:val="24"/>
          <w:szCs w:val="24"/>
        </w:rPr>
      </w:pPr>
      <w:r w:rsidRPr="00842C09">
        <w:rPr>
          <w:sz w:val="24"/>
          <w:szCs w:val="24"/>
        </w:rPr>
        <w:t>Indicators for Lot 2:</w:t>
      </w:r>
    </w:p>
    <w:p w:rsidR="00842C09" w:rsidRPr="00791C9E" w:rsidRDefault="00842C09" w:rsidP="00AA2817">
      <w:pPr>
        <w:pStyle w:val="ListParagraph"/>
        <w:numPr>
          <w:ilvl w:val="0"/>
          <w:numId w:val="26"/>
        </w:numPr>
        <w:tabs>
          <w:tab w:val="left" w:pos="720"/>
        </w:tabs>
        <w:spacing w:after="0"/>
        <w:ind w:left="720"/>
        <w:rPr>
          <w:sz w:val="24"/>
          <w:szCs w:val="24"/>
        </w:rPr>
      </w:pPr>
      <w:r w:rsidRPr="00791C9E">
        <w:rPr>
          <w:sz w:val="24"/>
          <w:szCs w:val="24"/>
        </w:rPr>
        <w:t>Number of new or upgraded business support facilities (business incubators, information centres, business development centres, laboratories and research facilities, technology centres)</w:t>
      </w:r>
    </w:p>
    <w:p w:rsidR="00842C09" w:rsidRPr="00791C9E" w:rsidRDefault="00CE52CF" w:rsidP="00AA2817">
      <w:pPr>
        <w:pStyle w:val="ListParagraph"/>
        <w:numPr>
          <w:ilvl w:val="0"/>
          <w:numId w:val="26"/>
        </w:numPr>
        <w:spacing w:after="0"/>
        <w:ind w:left="720"/>
        <w:rPr>
          <w:sz w:val="24"/>
          <w:szCs w:val="24"/>
        </w:rPr>
      </w:pPr>
      <w:r>
        <w:rPr>
          <w:sz w:val="24"/>
          <w:szCs w:val="24"/>
        </w:rPr>
        <w:t xml:space="preserve">Surface </w:t>
      </w:r>
      <w:r w:rsidR="00842C09" w:rsidRPr="00791C9E">
        <w:rPr>
          <w:sz w:val="24"/>
          <w:szCs w:val="24"/>
        </w:rPr>
        <w:t>of Brownfield sites restored to function</w:t>
      </w:r>
    </w:p>
    <w:p w:rsidR="00942C65" w:rsidRPr="00602A39" w:rsidRDefault="00CE52CF" w:rsidP="007B7091">
      <w:pPr>
        <w:pStyle w:val="ListParagraph"/>
        <w:numPr>
          <w:ilvl w:val="0"/>
          <w:numId w:val="26"/>
        </w:numPr>
        <w:spacing w:after="240"/>
        <w:ind w:left="720"/>
        <w:rPr>
          <w:sz w:val="24"/>
          <w:szCs w:val="24"/>
        </w:rPr>
      </w:pPr>
      <w:r>
        <w:rPr>
          <w:sz w:val="24"/>
          <w:szCs w:val="24"/>
        </w:rPr>
        <w:t>Surface</w:t>
      </w:r>
      <w:r w:rsidR="00842C09" w:rsidRPr="00791C9E">
        <w:rPr>
          <w:sz w:val="24"/>
          <w:szCs w:val="24"/>
        </w:rPr>
        <w:t xml:space="preserve"> of Greenfield sites communally equipped and ready for investment </w:t>
      </w:r>
    </w:p>
    <w:p w:rsidR="00A34881" w:rsidRPr="007B7091" w:rsidRDefault="00A34881" w:rsidP="007B7091">
      <w:pPr>
        <w:spacing w:after="240"/>
        <w:rPr>
          <w:sz w:val="24"/>
          <w:szCs w:val="24"/>
        </w:rPr>
      </w:pPr>
      <w:r w:rsidRPr="007B7091">
        <w:rPr>
          <w:sz w:val="24"/>
          <w:szCs w:val="24"/>
        </w:rPr>
        <w:t>The following types of action are ineligible:</w:t>
      </w:r>
    </w:p>
    <w:p w:rsidR="00A34881" w:rsidRPr="007B7091" w:rsidRDefault="00D84EAD" w:rsidP="00AA2817">
      <w:pPr>
        <w:pStyle w:val="ListParagraph"/>
        <w:numPr>
          <w:ilvl w:val="0"/>
          <w:numId w:val="30"/>
        </w:numPr>
        <w:spacing w:after="0"/>
        <w:ind w:left="720"/>
        <w:rPr>
          <w:sz w:val="24"/>
          <w:szCs w:val="24"/>
        </w:rPr>
      </w:pPr>
      <w:r w:rsidRPr="007B7091">
        <w:rPr>
          <w:sz w:val="24"/>
          <w:szCs w:val="24"/>
        </w:rPr>
        <w:t>Actions</w:t>
      </w:r>
      <w:r w:rsidR="00A34881" w:rsidRPr="007B7091">
        <w:rPr>
          <w:sz w:val="24"/>
          <w:szCs w:val="24"/>
        </w:rPr>
        <w:t xml:space="preserve"> concerned only or mainly with individual sponsorships for participation in workshops, seminars, conferences, congresses;</w:t>
      </w:r>
    </w:p>
    <w:p w:rsidR="00A34881" w:rsidRPr="007B7091" w:rsidRDefault="00D84EAD" w:rsidP="00AA2817">
      <w:pPr>
        <w:pStyle w:val="ListParagraph"/>
        <w:numPr>
          <w:ilvl w:val="0"/>
          <w:numId w:val="30"/>
        </w:numPr>
        <w:spacing w:after="0"/>
        <w:ind w:left="720"/>
        <w:rPr>
          <w:sz w:val="24"/>
          <w:szCs w:val="24"/>
        </w:rPr>
      </w:pPr>
      <w:r w:rsidRPr="007B7091">
        <w:rPr>
          <w:sz w:val="24"/>
          <w:szCs w:val="24"/>
        </w:rPr>
        <w:lastRenderedPageBreak/>
        <w:t>Actions</w:t>
      </w:r>
      <w:r w:rsidR="00A34881" w:rsidRPr="007B7091">
        <w:rPr>
          <w:sz w:val="24"/>
          <w:szCs w:val="24"/>
        </w:rPr>
        <w:t xml:space="preserve"> concerned only or mainly with individual scholarships for studies or training courses</w:t>
      </w:r>
    </w:p>
    <w:p w:rsidR="00A34881" w:rsidRPr="007B7091" w:rsidRDefault="00D84EAD" w:rsidP="00AA2817">
      <w:pPr>
        <w:pStyle w:val="ListParagraph"/>
        <w:numPr>
          <w:ilvl w:val="0"/>
          <w:numId w:val="30"/>
        </w:numPr>
        <w:spacing w:after="0"/>
        <w:ind w:left="720"/>
        <w:rPr>
          <w:sz w:val="24"/>
          <w:szCs w:val="24"/>
        </w:rPr>
      </w:pPr>
      <w:r w:rsidRPr="007B7091">
        <w:rPr>
          <w:sz w:val="24"/>
          <w:szCs w:val="24"/>
        </w:rPr>
        <w:t>Actions</w:t>
      </w:r>
      <w:r w:rsidR="00A34881" w:rsidRPr="007B7091">
        <w:rPr>
          <w:sz w:val="24"/>
          <w:szCs w:val="24"/>
        </w:rPr>
        <w:t xml:space="preserve"> where impacts will directly benefit single enterprises</w:t>
      </w:r>
    </w:p>
    <w:p w:rsidR="00A34881" w:rsidRPr="007B7091" w:rsidRDefault="00D84EAD" w:rsidP="00AA2817">
      <w:pPr>
        <w:pStyle w:val="ListParagraph"/>
        <w:numPr>
          <w:ilvl w:val="0"/>
          <w:numId w:val="30"/>
        </w:numPr>
        <w:spacing w:after="0"/>
        <w:ind w:left="720"/>
        <w:rPr>
          <w:sz w:val="24"/>
          <w:szCs w:val="24"/>
        </w:rPr>
      </w:pPr>
      <w:r w:rsidRPr="007B7091">
        <w:rPr>
          <w:sz w:val="24"/>
          <w:szCs w:val="24"/>
        </w:rPr>
        <w:t>Studies</w:t>
      </w:r>
      <w:r w:rsidR="00A34881" w:rsidRPr="007B7091">
        <w:rPr>
          <w:sz w:val="24"/>
          <w:szCs w:val="24"/>
        </w:rPr>
        <w:t xml:space="preserve"> and research based activities</w:t>
      </w:r>
    </w:p>
    <w:p w:rsidR="00A34881" w:rsidRPr="007B7091" w:rsidRDefault="00D84EAD" w:rsidP="00AA2817">
      <w:pPr>
        <w:pStyle w:val="ListParagraph"/>
        <w:numPr>
          <w:ilvl w:val="0"/>
          <w:numId w:val="30"/>
        </w:numPr>
        <w:spacing w:after="0"/>
        <w:ind w:left="720"/>
        <w:rPr>
          <w:sz w:val="24"/>
          <w:szCs w:val="24"/>
        </w:rPr>
      </w:pPr>
      <w:r w:rsidRPr="007B7091">
        <w:rPr>
          <w:sz w:val="24"/>
          <w:szCs w:val="24"/>
        </w:rPr>
        <w:t>Preparation</w:t>
      </w:r>
      <w:r w:rsidR="00A34881" w:rsidRPr="007B7091">
        <w:rPr>
          <w:sz w:val="24"/>
          <w:szCs w:val="24"/>
        </w:rPr>
        <w:t xml:space="preserve"> of feasibility studies, preparatory actions for investments (for instance main project design)</w:t>
      </w:r>
    </w:p>
    <w:p w:rsidR="00A34881" w:rsidRPr="007B7091" w:rsidRDefault="00D84EAD" w:rsidP="00AA2817">
      <w:pPr>
        <w:pStyle w:val="ListParagraph"/>
        <w:numPr>
          <w:ilvl w:val="0"/>
          <w:numId w:val="30"/>
        </w:numPr>
        <w:spacing w:after="0"/>
        <w:ind w:left="720"/>
        <w:rPr>
          <w:sz w:val="24"/>
          <w:szCs w:val="24"/>
        </w:rPr>
      </w:pPr>
      <w:r w:rsidRPr="007B7091">
        <w:rPr>
          <w:sz w:val="24"/>
          <w:szCs w:val="24"/>
        </w:rPr>
        <w:t>Actions</w:t>
      </w:r>
      <w:r w:rsidR="00A34881" w:rsidRPr="007B7091">
        <w:rPr>
          <w:sz w:val="24"/>
          <w:szCs w:val="24"/>
        </w:rPr>
        <w:t xml:space="preserve"> linked to political parties</w:t>
      </w:r>
    </w:p>
    <w:p w:rsidR="00A34881" w:rsidRPr="007B7091" w:rsidRDefault="00D84EAD" w:rsidP="00AA2817">
      <w:pPr>
        <w:pStyle w:val="ListParagraph"/>
        <w:numPr>
          <w:ilvl w:val="0"/>
          <w:numId w:val="30"/>
        </w:numPr>
        <w:spacing w:after="0"/>
        <w:ind w:left="720"/>
        <w:rPr>
          <w:sz w:val="24"/>
          <w:szCs w:val="24"/>
        </w:rPr>
      </w:pPr>
      <w:r w:rsidRPr="007B7091">
        <w:rPr>
          <w:sz w:val="24"/>
          <w:szCs w:val="24"/>
        </w:rPr>
        <w:t>Actions</w:t>
      </w:r>
      <w:r w:rsidR="00A34881" w:rsidRPr="007B7091">
        <w:rPr>
          <w:sz w:val="24"/>
          <w:szCs w:val="24"/>
        </w:rPr>
        <w:t xml:space="preserve"> related to:</w:t>
      </w:r>
    </w:p>
    <w:p w:rsidR="00A34881" w:rsidRPr="00875208" w:rsidRDefault="00A34881" w:rsidP="00AA2817">
      <w:pPr>
        <w:spacing w:after="0"/>
        <w:ind w:left="360"/>
        <w:rPr>
          <w:sz w:val="24"/>
          <w:szCs w:val="24"/>
        </w:rPr>
      </w:pPr>
      <w:r w:rsidRPr="00875208">
        <w:rPr>
          <w:sz w:val="24"/>
          <w:szCs w:val="24"/>
        </w:rPr>
        <w:t xml:space="preserve">                - The tobacco industry (CAEN code 16);</w:t>
      </w:r>
    </w:p>
    <w:p w:rsidR="009038D7" w:rsidRPr="00875208" w:rsidRDefault="00A34881" w:rsidP="00AA2817">
      <w:pPr>
        <w:spacing w:after="0"/>
        <w:ind w:left="360"/>
        <w:rPr>
          <w:sz w:val="24"/>
          <w:szCs w:val="24"/>
        </w:rPr>
      </w:pPr>
      <w:r w:rsidRPr="00875208">
        <w:rPr>
          <w:sz w:val="24"/>
          <w:szCs w:val="24"/>
        </w:rPr>
        <w:t xml:space="preserve">                - Production of alcoholic distil</w:t>
      </w:r>
      <w:r w:rsidR="009038D7" w:rsidRPr="00875208">
        <w:rPr>
          <w:sz w:val="24"/>
          <w:szCs w:val="24"/>
        </w:rPr>
        <w:t>led beverages (CAEN code 1591);</w:t>
      </w:r>
    </w:p>
    <w:p w:rsidR="00A34881" w:rsidRPr="00875208" w:rsidRDefault="00A34881" w:rsidP="00AA2817">
      <w:pPr>
        <w:spacing w:after="0"/>
        <w:ind w:left="360"/>
        <w:rPr>
          <w:sz w:val="24"/>
          <w:szCs w:val="24"/>
        </w:rPr>
      </w:pPr>
      <w:r w:rsidRPr="00875208">
        <w:rPr>
          <w:sz w:val="24"/>
          <w:szCs w:val="24"/>
        </w:rPr>
        <w:t xml:space="preserve">                - Arms and munitions (CAEN code 296).</w:t>
      </w:r>
    </w:p>
    <w:p w:rsidR="00602A39" w:rsidRDefault="00602A39" w:rsidP="002C7369">
      <w:pPr>
        <w:rPr>
          <w:sz w:val="24"/>
          <w:szCs w:val="24"/>
          <w:u w:val="single"/>
        </w:rPr>
      </w:pPr>
    </w:p>
    <w:p w:rsidR="00CF7D0A" w:rsidRPr="00875208" w:rsidRDefault="0061609A" w:rsidP="002C7369">
      <w:pPr>
        <w:rPr>
          <w:sz w:val="24"/>
          <w:szCs w:val="24"/>
          <w:u w:val="single"/>
        </w:rPr>
      </w:pPr>
      <w:r w:rsidRPr="00875208">
        <w:rPr>
          <w:sz w:val="24"/>
          <w:szCs w:val="24"/>
          <w:u w:val="single"/>
        </w:rPr>
        <w:t>Types of activity</w:t>
      </w:r>
    </w:p>
    <w:p w:rsidR="002C7369" w:rsidRPr="00875208" w:rsidRDefault="002C7369" w:rsidP="002C7369">
      <w:pPr>
        <w:rPr>
          <w:sz w:val="24"/>
          <w:szCs w:val="24"/>
        </w:rPr>
      </w:pPr>
      <w:r w:rsidRPr="007B7091">
        <w:rPr>
          <w:b/>
          <w:sz w:val="24"/>
          <w:szCs w:val="24"/>
        </w:rPr>
        <w:t>For Lot 1</w:t>
      </w:r>
      <w:r w:rsidR="00DF1C1A">
        <w:rPr>
          <w:sz w:val="24"/>
          <w:szCs w:val="24"/>
        </w:rPr>
        <w:t xml:space="preserve"> (list not </w:t>
      </w:r>
      <w:r w:rsidR="003F6031">
        <w:rPr>
          <w:sz w:val="24"/>
          <w:szCs w:val="24"/>
        </w:rPr>
        <w:t>exhaustive</w:t>
      </w:r>
      <w:r w:rsidR="00DF1C1A">
        <w:rPr>
          <w:sz w:val="24"/>
          <w:szCs w:val="24"/>
        </w:rPr>
        <w:t>)</w:t>
      </w:r>
    </w:p>
    <w:p w:rsidR="002C7369" w:rsidRPr="00875208" w:rsidRDefault="002C7369" w:rsidP="00904785">
      <w:pPr>
        <w:pStyle w:val="ListParagraph"/>
        <w:numPr>
          <w:ilvl w:val="0"/>
          <w:numId w:val="22"/>
        </w:numPr>
        <w:spacing w:line="276" w:lineRule="auto"/>
        <w:contextualSpacing/>
        <w:jc w:val="left"/>
        <w:rPr>
          <w:sz w:val="24"/>
          <w:szCs w:val="24"/>
        </w:rPr>
      </w:pPr>
      <w:r w:rsidRPr="00875208">
        <w:rPr>
          <w:sz w:val="24"/>
          <w:szCs w:val="24"/>
        </w:rPr>
        <w:t>Construction, reconstruction and procurement</w:t>
      </w:r>
      <w:r w:rsidR="00A845C4">
        <w:rPr>
          <w:sz w:val="24"/>
          <w:szCs w:val="24"/>
        </w:rPr>
        <w:t xml:space="preserve"> of equipment</w:t>
      </w:r>
      <w:r w:rsidRPr="00875208">
        <w:rPr>
          <w:sz w:val="24"/>
          <w:szCs w:val="24"/>
        </w:rPr>
        <w:t xml:space="preserve"> – buildings for education, health, social care, culture and sports</w:t>
      </w:r>
    </w:p>
    <w:p w:rsidR="002C7369" w:rsidRPr="00875208" w:rsidRDefault="002C7369" w:rsidP="00904785">
      <w:pPr>
        <w:pStyle w:val="ListParagraph"/>
        <w:numPr>
          <w:ilvl w:val="0"/>
          <w:numId w:val="22"/>
        </w:numPr>
        <w:spacing w:line="276" w:lineRule="auto"/>
        <w:contextualSpacing/>
        <w:jc w:val="left"/>
        <w:rPr>
          <w:sz w:val="24"/>
          <w:szCs w:val="24"/>
        </w:rPr>
      </w:pPr>
      <w:r w:rsidRPr="00875208">
        <w:rPr>
          <w:sz w:val="24"/>
          <w:szCs w:val="24"/>
        </w:rPr>
        <w:t xml:space="preserve">Works </w:t>
      </w:r>
      <w:r w:rsidR="0021255E">
        <w:rPr>
          <w:sz w:val="24"/>
          <w:szCs w:val="24"/>
        </w:rPr>
        <w:t>to improve energy efficiency - r</w:t>
      </w:r>
      <w:r w:rsidRPr="00875208">
        <w:rPr>
          <w:sz w:val="24"/>
          <w:szCs w:val="24"/>
        </w:rPr>
        <w:t xml:space="preserve">eplacement of joinery, improvement on facades and improvement on heating systems </w:t>
      </w:r>
    </w:p>
    <w:p w:rsidR="002C7369" w:rsidRPr="00875208" w:rsidRDefault="002C7369" w:rsidP="00904785">
      <w:pPr>
        <w:pStyle w:val="ListParagraph"/>
        <w:numPr>
          <w:ilvl w:val="0"/>
          <w:numId w:val="22"/>
        </w:numPr>
        <w:spacing w:line="276" w:lineRule="auto"/>
        <w:contextualSpacing/>
        <w:jc w:val="left"/>
        <w:rPr>
          <w:sz w:val="24"/>
          <w:szCs w:val="24"/>
        </w:rPr>
      </w:pPr>
      <w:r w:rsidRPr="00875208">
        <w:rPr>
          <w:sz w:val="24"/>
          <w:szCs w:val="24"/>
        </w:rPr>
        <w:t>Accessibility infrastructure for physically impaired persons</w:t>
      </w:r>
    </w:p>
    <w:p w:rsidR="002C7369" w:rsidRPr="00875208" w:rsidRDefault="002C7369" w:rsidP="00904785">
      <w:pPr>
        <w:pStyle w:val="ListParagraph"/>
        <w:numPr>
          <w:ilvl w:val="0"/>
          <w:numId w:val="22"/>
        </w:numPr>
        <w:spacing w:line="276" w:lineRule="auto"/>
        <w:contextualSpacing/>
        <w:jc w:val="left"/>
        <w:rPr>
          <w:sz w:val="24"/>
          <w:szCs w:val="24"/>
        </w:rPr>
      </w:pPr>
      <w:r w:rsidRPr="00875208">
        <w:rPr>
          <w:sz w:val="24"/>
          <w:szCs w:val="24"/>
        </w:rPr>
        <w:t>Construction, reconstruction and procurement</w:t>
      </w:r>
      <w:r w:rsidR="00DF1C1A">
        <w:rPr>
          <w:sz w:val="24"/>
          <w:szCs w:val="24"/>
        </w:rPr>
        <w:t xml:space="preserve"> of equipment</w:t>
      </w:r>
      <w:r w:rsidRPr="00875208">
        <w:rPr>
          <w:sz w:val="24"/>
          <w:szCs w:val="24"/>
        </w:rPr>
        <w:t xml:space="preserve"> – water supply and sewage systems</w:t>
      </w:r>
    </w:p>
    <w:p w:rsidR="00D84EAD" w:rsidRPr="007B7091" w:rsidRDefault="002C7369" w:rsidP="00D84EAD">
      <w:pPr>
        <w:pStyle w:val="ListParagraph"/>
        <w:numPr>
          <w:ilvl w:val="0"/>
          <w:numId w:val="22"/>
        </w:numPr>
        <w:spacing w:line="276" w:lineRule="auto"/>
        <w:contextualSpacing/>
        <w:jc w:val="left"/>
        <w:rPr>
          <w:sz w:val="24"/>
          <w:szCs w:val="24"/>
        </w:rPr>
      </w:pPr>
      <w:r w:rsidRPr="00875208">
        <w:rPr>
          <w:sz w:val="24"/>
          <w:szCs w:val="24"/>
        </w:rPr>
        <w:t xml:space="preserve">Construction, reconstruction and procurement </w:t>
      </w:r>
      <w:r w:rsidR="00DF1C1A">
        <w:rPr>
          <w:sz w:val="24"/>
          <w:szCs w:val="24"/>
        </w:rPr>
        <w:t>of equipment</w:t>
      </w:r>
      <w:r w:rsidRPr="00875208">
        <w:rPr>
          <w:sz w:val="24"/>
          <w:szCs w:val="24"/>
        </w:rPr>
        <w:t>– waste management, waste water systems, recycling</w:t>
      </w:r>
    </w:p>
    <w:p w:rsidR="002C7369" w:rsidRPr="00875208" w:rsidRDefault="002C7369" w:rsidP="002C7369">
      <w:pPr>
        <w:rPr>
          <w:sz w:val="24"/>
          <w:szCs w:val="24"/>
        </w:rPr>
      </w:pPr>
      <w:r w:rsidRPr="007B7091">
        <w:rPr>
          <w:b/>
          <w:sz w:val="24"/>
          <w:szCs w:val="24"/>
        </w:rPr>
        <w:t>For Lot 2</w:t>
      </w:r>
      <w:r w:rsidR="00DF1C1A" w:rsidRPr="007B7091">
        <w:rPr>
          <w:b/>
          <w:sz w:val="24"/>
          <w:szCs w:val="24"/>
        </w:rPr>
        <w:t xml:space="preserve"> </w:t>
      </w:r>
      <w:r w:rsidR="00DF1C1A">
        <w:rPr>
          <w:sz w:val="24"/>
          <w:szCs w:val="24"/>
        </w:rPr>
        <w:t xml:space="preserve">(list not </w:t>
      </w:r>
      <w:r w:rsidR="003F6031">
        <w:rPr>
          <w:sz w:val="24"/>
          <w:szCs w:val="24"/>
        </w:rPr>
        <w:t>exhaustive</w:t>
      </w:r>
      <w:r w:rsidR="00DF1C1A">
        <w:rPr>
          <w:sz w:val="24"/>
          <w:szCs w:val="24"/>
        </w:rPr>
        <w:t>)</w:t>
      </w:r>
    </w:p>
    <w:p w:rsidR="002C7369" w:rsidRPr="00875208" w:rsidRDefault="002C7369" w:rsidP="00167963">
      <w:pPr>
        <w:pStyle w:val="ListParagraph"/>
        <w:numPr>
          <w:ilvl w:val="0"/>
          <w:numId w:val="23"/>
        </w:numPr>
        <w:spacing w:line="276" w:lineRule="auto"/>
        <w:contextualSpacing/>
        <w:rPr>
          <w:sz w:val="24"/>
          <w:szCs w:val="24"/>
        </w:rPr>
      </w:pPr>
      <w:r w:rsidRPr="00875208">
        <w:rPr>
          <w:sz w:val="24"/>
          <w:szCs w:val="24"/>
        </w:rPr>
        <w:t>Construction</w:t>
      </w:r>
      <w:r w:rsidR="00D84EAD">
        <w:rPr>
          <w:sz w:val="24"/>
          <w:szCs w:val="24"/>
        </w:rPr>
        <w:t>,</w:t>
      </w:r>
      <w:r w:rsidRPr="00875208">
        <w:rPr>
          <w:sz w:val="24"/>
          <w:szCs w:val="24"/>
        </w:rPr>
        <w:t xml:space="preserve"> reconstruction</w:t>
      </w:r>
      <w:r w:rsidR="00D84EAD">
        <w:rPr>
          <w:sz w:val="24"/>
          <w:szCs w:val="24"/>
        </w:rPr>
        <w:t xml:space="preserve"> and equipping</w:t>
      </w:r>
      <w:r w:rsidRPr="00875208">
        <w:rPr>
          <w:sz w:val="24"/>
          <w:szCs w:val="24"/>
        </w:rPr>
        <w:t xml:space="preserve"> of </w:t>
      </w:r>
      <w:r w:rsidR="00D84EAD">
        <w:rPr>
          <w:sz w:val="24"/>
          <w:szCs w:val="24"/>
        </w:rPr>
        <w:t xml:space="preserve"> </w:t>
      </w:r>
      <w:r w:rsidRPr="00875208">
        <w:rPr>
          <w:sz w:val="24"/>
          <w:szCs w:val="24"/>
        </w:rPr>
        <w:t xml:space="preserve">business </w:t>
      </w:r>
      <w:r w:rsidR="00D84EAD">
        <w:rPr>
          <w:sz w:val="24"/>
          <w:szCs w:val="24"/>
        </w:rPr>
        <w:t xml:space="preserve">support </w:t>
      </w:r>
      <w:r w:rsidRPr="00875208">
        <w:rPr>
          <w:sz w:val="24"/>
          <w:szCs w:val="24"/>
        </w:rPr>
        <w:t>facilities</w:t>
      </w:r>
      <w:r w:rsidR="00D84EAD">
        <w:rPr>
          <w:sz w:val="24"/>
          <w:szCs w:val="24"/>
        </w:rPr>
        <w:t xml:space="preserve"> (business incubators, information centres, business development centres, laboratories and research facilities, technology centres)</w:t>
      </w:r>
    </w:p>
    <w:p w:rsidR="002C7369" w:rsidRPr="00875208" w:rsidRDefault="0036478B" w:rsidP="00904785">
      <w:pPr>
        <w:pStyle w:val="ListParagraph"/>
        <w:numPr>
          <w:ilvl w:val="0"/>
          <w:numId w:val="23"/>
        </w:numPr>
        <w:spacing w:line="276" w:lineRule="auto"/>
        <w:contextualSpacing/>
        <w:jc w:val="left"/>
        <w:rPr>
          <w:sz w:val="24"/>
          <w:szCs w:val="24"/>
        </w:rPr>
      </w:pPr>
      <w:r>
        <w:rPr>
          <w:sz w:val="24"/>
          <w:szCs w:val="24"/>
        </w:rPr>
        <w:t>Upgrading and communal equipping</w:t>
      </w:r>
      <w:r w:rsidRPr="00875208">
        <w:rPr>
          <w:sz w:val="24"/>
          <w:szCs w:val="24"/>
        </w:rPr>
        <w:t xml:space="preserve"> </w:t>
      </w:r>
      <w:r w:rsidR="002C7369" w:rsidRPr="00875208">
        <w:rPr>
          <w:sz w:val="24"/>
          <w:szCs w:val="24"/>
        </w:rPr>
        <w:t>of Greenfield sites</w:t>
      </w:r>
    </w:p>
    <w:p w:rsidR="002C7369" w:rsidRPr="00875208" w:rsidRDefault="002C7369" w:rsidP="00904785">
      <w:pPr>
        <w:pStyle w:val="ListParagraph"/>
        <w:numPr>
          <w:ilvl w:val="0"/>
          <w:numId w:val="23"/>
        </w:numPr>
        <w:spacing w:line="276" w:lineRule="auto"/>
        <w:contextualSpacing/>
        <w:jc w:val="left"/>
        <w:rPr>
          <w:sz w:val="24"/>
          <w:szCs w:val="24"/>
        </w:rPr>
      </w:pPr>
      <w:r w:rsidRPr="00875208">
        <w:rPr>
          <w:sz w:val="24"/>
          <w:szCs w:val="24"/>
        </w:rPr>
        <w:t xml:space="preserve">Rehabilitation of </w:t>
      </w:r>
      <w:r w:rsidR="00D84EAD">
        <w:rPr>
          <w:sz w:val="24"/>
          <w:szCs w:val="24"/>
        </w:rPr>
        <w:t xml:space="preserve"> </w:t>
      </w:r>
      <w:r w:rsidRPr="00875208">
        <w:rPr>
          <w:sz w:val="24"/>
          <w:szCs w:val="24"/>
        </w:rPr>
        <w:t xml:space="preserve">Brownfield sites </w:t>
      </w:r>
    </w:p>
    <w:p w:rsidR="002C7369" w:rsidRPr="00875208" w:rsidRDefault="002C7369" w:rsidP="00904785">
      <w:pPr>
        <w:pStyle w:val="ListParagraph"/>
        <w:numPr>
          <w:ilvl w:val="0"/>
          <w:numId w:val="23"/>
        </w:numPr>
        <w:spacing w:line="276" w:lineRule="auto"/>
        <w:contextualSpacing/>
        <w:jc w:val="left"/>
        <w:rPr>
          <w:sz w:val="24"/>
          <w:szCs w:val="24"/>
        </w:rPr>
      </w:pPr>
      <w:r w:rsidRPr="00875208">
        <w:rPr>
          <w:sz w:val="24"/>
          <w:szCs w:val="24"/>
        </w:rPr>
        <w:t>Construction and reconstruction of communal infrastructure leading to industrial zones – water, sewage, electricity, access roads</w:t>
      </w:r>
    </w:p>
    <w:p w:rsidR="002C7369" w:rsidRPr="007B7091" w:rsidRDefault="00D928D0" w:rsidP="00D84EAD">
      <w:pPr>
        <w:spacing w:after="240"/>
        <w:rPr>
          <w:i/>
          <w:sz w:val="24"/>
          <w:szCs w:val="24"/>
        </w:rPr>
      </w:pPr>
      <w:r w:rsidRPr="007B7091">
        <w:rPr>
          <w:b/>
          <w:i/>
          <w:sz w:val="24"/>
          <w:szCs w:val="24"/>
        </w:rPr>
        <w:t>NOTE</w:t>
      </w:r>
      <w:r w:rsidRPr="007B7091">
        <w:rPr>
          <w:i/>
          <w:sz w:val="24"/>
          <w:szCs w:val="24"/>
        </w:rPr>
        <w:t>:</w:t>
      </w:r>
      <w:r w:rsidR="007B7091" w:rsidRPr="007B7091">
        <w:rPr>
          <w:i/>
          <w:sz w:val="24"/>
          <w:szCs w:val="24"/>
        </w:rPr>
        <w:t xml:space="preserve"> </w:t>
      </w:r>
      <w:r w:rsidRPr="007B7091">
        <w:rPr>
          <w:i/>
          <w:sz w:val="24"/>
          <w:szCs w:val="24"/>
        </w:rPr>
        <w:t>Procurement of equipment will only be eligible in close and proven connection with infrastructure component of the action</w:t>
      </w:r>
    </w:p>
    <w:p w:rsidR="00C0480E" w:rsidRDefault="00C0480E" w:rsidP="00C0480E">
      <w:pPr>
        <w:spacing w:after="240"/>
        <w:rPr>
          <w:i/>
          <w:sz w:val="24"/>
          <w:szCs w:val="24"/>
        </w:rPr>
      </w:pPr>
      <w:r w:rsidRPr="007B7091">
        <w:rPr>
          <w:b/>
          <w:i/>
          <w:sz w:val="24"/>
          <w:szCs w:val="24"/>
        </w:rPr>
        <w:t>N</w:t>
      </w:r>
      <w:r w:rsidR="007B7091" w:rsidRPr="007B7091">
        <w:rPr>
          <w:b/>
          <w:i/>
          <w:sz w:val="24"/>
          <w:szCs w:val="24"/>
        </w:rPr>
        <w:t>OTE</w:t>
      </w:r>
      <w:r w:rsidRPr="007B7091">
        <w:rPr>
          <w:b/>
          <w:i/>
          <w:sz w:val="24"/>
          <w:szCs w:val="24"/>
        </w:rPr>
        <w:t>:</w:t>
      </w:r>
      <w:r w:rsidR="007B7091" w:rsidRPr="007B7091">
        <w:rPr>
          <w:i/>
          <w:sz w:val="24"/>
          <w:szCs w:val="24"/>
        </w:rPr>
        <w:t xml:space="preserve"> </w:t>
      </w:r>
      <w:r w:rsidR="007B7091">
        <w:rPr>
          <w:i/>
          <w:sz w:val="24"/>
          <w:szCs w:val="24"/>
        </w:rPr>
        <w:t xml:space="preserve"> </w:t>
      </w:r>
      <w:r w:rsidR="007B7091" w:rsidRPr="007B7091">
        <w:rPr>
          <w:i/>
          <w:sz w:val="24"/>
          <w:szCs w:val="24"/>
        </w:rPr>
        <w:t>A</w:t>
      </w:r>
      <w:r w:rsidRPr="007B7091">
        <w:rPr>
          <w:i/>
          <w:sz w:val="24"/>
          <w:szCs w:val="24"/>
        </w:rPr>
        <w:t xml:space="preserve">s indicated </w:t>
      </w:r>
      <w:r w:rsidR="00061B6F">
        <w:rPr>
          <w:i/>
          <w:sz w:val="24"/>
          <w:szCs w:val="24"/>
        </w:rPr>
        <w:t>in the above</w:t>
      </w:r>
      <w:r w:rsidRPr="007B7091">
        <w:rPr>
          <w:i/>
          <w:sz w:val="24"/>
          <w:szCs w:val="24"/>
        </w:rPr>
        <w:t xml:space="preserve"> </w:t>
      </w:r>
      <w:r w:rsidR="00710D92">
        <w:rPr>
          <w:i/>
          <w:sz w:val="24"/>
          <w:szCs w:val="24"/>
        </w:rPr>
        <w:t>Section “Sector or themes</w:t>
      </w:r>
      <w:r w:rsidR="008826BE">
        <w:rPr>
          <w:i/>
          <w:sz w:val="24"/>
          <w:szCs w:val="24"/>
        </w:rPr>
        <w:t>”,</w:t>
      </w:r>
      <w:r w:rsidR="00725FF4">
        <w:rPr>
          <w:i/>
          <w:sz w:val="24"/>
          <w:szCs w:val="24"/>
        </w:rPr>
        <w:t xml:space="preserve"> </w:t>
      </w:r>
      <w:r w:rsidR="008826BE" w:rsidRPr="007B7091">
        <w:rPr>
          <w:i/>
          <w:sz w:val="24"/>
          <w:szCs w:val="24"/>
        </w:rPr>
        <w:t>each</w:t>
      </w:r>
      <w:r w:rsidRPr="007B7091">
        <w:rPr>
          <w:i/>
          <w:sz w:val="24"/>
          <w:szCs w:val="24"/>
        </w:rPr>
        <w:t xml:space="preserve"> applicant must also demonstrate that it will follow the principles of good governance in implementation. As a minimum, the project proposal must address at least one of the </w:t>
      </w:r>
      <w:r w:rsidR="006877BA">
        <w:rPr>
          <w:i/>
          <w:sz w:val="24"/>
          <w:szCs w:val="24"/>
        </w:rPr>
        <w:t xml:space="preserve">five </w:t>
      </w:r>
      <w:r w:rsidRPr="007B7091">
        <w:rPr>
          <w:i/>
          <w:sz w:val="24"/>
          <w:szCs w:val="24"/>
        </w:rPr>
        <w:t xml:space="preserve">principles of good governance </w:t>
      </w:r>
      <w:r w:rsidR="00BE5E0D" w:rsidRPr="007B7091">
        <w:rPr>
          <w:i/>
          <w:sz w:val="24"/>
          <w:szCs w:val="24"/>
        </w:rPr>
        <w:t>(accountability</w:t>
      </w:r>
      <w:r w:rsidR="00EE0D8F" w:rsidRPr="007B7091">
        <w:rPr>
          <w:i/>
          <w:sz w:val="24"/>
          <w:szCs w:val="24"/>
        </w:rPr>
        <w:t xml:space="preserve">, transparency, efficiency, non-discrimination and participation) </w:t>
      </w:r>
      <w:r w:rsidRPr="007B7091">
        <w:rPr>
          <w:i/>
          <w:sz w:val="24"/>
          <w:szCs w:val="24"/>
        </w:rPr>
        <w:t>and propose adequate measures.</w:t>
      </w:r>
    </w:p>
    <w:p w:rsidR="007B7091" w:rsidRPr="007B7091" w:rsidRDefault="007B7091" w:rsidP="00C0480E">
      <w:pPr>
        <w:spacing w:after="240"/>
        <w:rPr>
          <w:i/>
          <w:sz w:val="24"/>
          <w:szCs w:val="24"/>
        </w:rPr>
      </w:pPr>
    </w:p>
    <w:p w:rsidR="00602A39" w:rsidRDefault="00602A39" w:rsidP="00545344">
      <w:pPr>
        <w:tabs>
          <w:tab w:val="left" w:pos="360"/>
        </w:tabs>
        <w:autoSpaceDE w:val="0"/>
        <w:ind w:left="360" w:hanging="360"/>
        <w:rPr>
          <w:sz w:val="24"/>
          <w:szCs w:val="24"/>
          <w:u w:val="single"/>
        </w:rPr>
      </w:pPr>
    </w:p>
    <w:p w:rsidR="00545344" w:rsidRPr="00875208" w:rsidRDefault="00545344" w:rsidP="00545344">
      <w:pPr>
        <w:tabs>
          <w:tab w:val="left" w:pos="360"/>
        </w:tabs>
        <w:autoSpaceDE w:val="0"/>
        <w:ind w:left="360" w:hanging="360"/>
        <w:rPr>
          <w:sz w:val="24"/>
          <w:szCs w:val="24"/>
          <w:u w:val="single"/>
        </w:rPr>
      </w:pPr>
      <w:r w:rsidRPr="00875208">
        <w:rPr>
          <w:sz w:val="24"/>
          <w:szCs w:val="24"/>
          <w:u w:val="single"/>
        </w:rPr>
        <w:t>Financial support to third parties</w:t>
      </w:r>
      <w:r w:rsidR="00370805">
        <w:rPr>
          <w:rStyle w:val="FootnoteReference"/>
          <w:szCs w:val="24"/>
          <w:u w:val="single"/>
        </w:rPr>
        <w:footnoteReference w:id="16"/>
      </w:r>
      <w:r w:rsidRPr="00875208">
        <w:rPr>
          <w:sz w:val="24"/>
          <w:szCs w:val="24"/>
          <w:u w:val="single"/>
        </w:rPr>
        <w:t xml:space="preserve"> </w:t>
      </w:r>
    </w:p>
    <w:p w:rsidR="00545344" w:rsidRPr="00875208" w:rsidRDefault="00545344" w:rsidP="00545344">
      <w:pPr>
        <w:tabs>
          <w:tab w:val="left" w:pos="360"/>
        </w:tabs>
        <w:autoSpaceDE w:val="0"/>
        <w:ind w:left="360" w:hanging="360"/>
        <w:rPr>
          <w:sz w:val="24"/>
          <w:szCs w:val="24"/>
        </w:rPr>
      </w:pPr>
      <w:r w:rsidRPr="00875208">
        <w:rPr>
          <w:sz w:val="24"/>
          <w:szCs w:val="24"/>
        </w:rPr>
        <w:t>Applicants may not propose financial support to third parties.</w:t>
      </w:r>
    </w:p>
    <w:p w:rsidR="00107C6D" w:rsidRPr="00875208" w:rsidRDefault="00107C6D" w:rsidP="006B6048">
      <w:pPr>
        <w:rPr>
          <w:sz w:val="24"/>
          <w:szCs w:val="24"/>
          <w:u w:val="single"/>
        </w:rPr>
      </w:pPr>
      <w:r w:rsidRPr="00875208">
        <w:rPr>
          <w:sz w:val="24"/>
          <w:szCs w:val="24"/>
          <w:u w:val="single"/>
        </w:rPr>
        <w:t>Visibility</w:t>
      </w:r>
    </w:p>
    <w:p w:rsidR="00622160" w:rsidRPr="00875208" w:rsidRDefault="00622160" w:rsidP="00622160">
      <w:pPr>
        <w:rPr>
          <w:sz w:val="24"/>
          <w:szCs w:val="24"/>
        </w:rPr>
      </w:pPr>
      <w:r w:rsidRPr="00875208">
        <w:rPr>
          <w:sz w:val="24"/>
          <w:szCs w:val="24"/>
        </w:rPr>
        <w:t>The Applicants must take all necessary steps to publicise the fact that the European Union has financed or co-financed the Action.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rsidR="00E95995" w:rsidRPr="007B7091" w:rsidRDefault="00EE729B" w:rsidP="007B7091">
      <w:pPr>
        <w:ind w:right="-262"/>
        <w:rPr>
          <w:sz w:val="24"/>
          <w:szCs w:val="24"/>
        </w:rPr>
      </w:pPr>
      <w:r w:rsidRPr="00875208">
        <w:rPr>
          <w:sz w:val="24"/>
          <w:szCs w:val="24"/>
        </w:rPr>
        <w:t>A</w:t>
      </w:r>
      <w:r w:rsidR="002A4866" w:rsidRPr="00875208">
        <w:rPr>
          <w:sz w:val="24"/>
          <w:szCs w:val="24"/>
        </w:rPr>
        <w:t>pplicant</w:t>
      </w:r>
      <w:r w:rsidRPr="00875208">
        <w:rPr>
          <w:sz w:val="24"/>
          <w:szCs w:val="24"/>
        </w:rPr>
        <w:t>s</w:t>
      </w:r>
      <w:r w:rsidR="002A4866" w:rsidRPr="00875208">
        <w:rPr>
          <w:sz w:val="24"/>
          <w:szCs w:val="24"/>
        </w:rPr>
        <w:t xml:space="preserve"> must comply with the objectives and priorities and guarantee the visibility of the EU</w:t>
      </w:r>
      <w:r w:rsidR="00605F1E">
        <w:rPr>
          <w:sz w:val="24"/>
          <w:szCs w:val="24"/>
        </w:rPr>
        <w:t xml:space="preserve"> </w:t>
      </w:r>
      <w:r w:rsidR="002A4866" w:rsidRPr="00875208">
        <w:rPr>
          <w:sz w:val="24"/>
          <w:szCs w:val="24"/>
        </w:rPr>
        <w:t xml:space="preserve">financing (see the Communication and Visibility Manual for EU external actions </w:t>
      </w:r>
      <w:r w:rsidR="009F1A11" w:rsidRPr="00875208">
        <w:rPr>
          <w:sz w:val="24"/>
          <w:szCs w:val="24"/>
        </w:rPr>
        <w:t>specified</w:t>
      </w:r>
      <w:r w:rsidR="002A4866" w:rsidRPr="00875208">
        <w:rPr>
          <w:sz w:val="24"/>
          <w:szCs w:val="24"/>
        </w:rPr>
        <w:t xml:space="preserve"> and published by the European Commission at</w:t>
      </w:r>
      <w:r w:rsidR="007B7091">
        <w:rPr>
          <w:sz w:val="24"/>
          <w:szCs w:val="24"/>
        </w:rPr>
        <w:t xml:space="preserve"> </w:t>
      </w:r>
      <w:hyperlink r:id="rId13" w:history="1">
        <w:r w:rsidR="00EC514B" w:rsidRPr="00F163A6">
          <w:rPr>
            <w:rStyle w:val="Hyperlink"/>
            <w:sz w:val="24"/>
            <w:szCs w:val="24"/>
          </w:rPr>
          <w:t>https://ec.europa.eu/europeaid/communication-and-visibility-manual-eu-external-actions_en</w:t>
        </w:r>
      </w:hyperlink>
      <w:r w:rsidR="00EC514B">
        <w:rPr>
          <w:sz w:val="24"/>
          <w:szCs w:val="24"/>
        </w:rPr>
        <w:t>).</w:t>
      </w:r>
    </w:p>
    <w:p w:rsidR="00C0480E" w:rsidRPr="00875208" w:rsidRDefault="00C0480E" w:rsidP="00C0480E">
      <w:pPr>
        <w:spacing w:after="240"/>
        <w:rPr>
          <w:sz w:val="24"/>
          <w:szCs w:val="24"/>
          <w:u w:val="single"/>
        </w:rPr>
      </w:pPr>
      <w:r w:rsidRPr="00875208">
        <w:rPr>
          <w:sz w:val="24"/>
          <w:szCs w:val="24"/>
          <w:u w:val="single"/>
        </w:rPr>
        <w:t>Number of applications and grants per applicant</w:t>
      </w:r>
    </w:p>
    <w:p w:rsidR="00D51E17" w:rsidRPr="00875208" w:rsidRDefault="00D51E17" w:rsidP="00D51E17">
      <w:pPr>
        <w:spacing w:after="240"/>
        <w:rPr>
          <w:sz w:val="24"/>
          <w:szCs w:val="24"/>
        </w:rPr>
      </w:pPr>
      <w:r w:rsidRPr="00875208">
        <w:rPr>
          <w:sz w:val="24"/>
          <w:szCs w:val="24"/>
        </w:rPr>
        <w:t xml:space="preserve">An applicant may not submit more than </w:t>
      </w:r>
      <w:r w:rsidR="00AA3700">
        <w:rPr>
          <w:b/>
          <w:sz w:val="24"/>
          <w:szCs w:val="24"/>
        </w:rPr>
        <w:t>two</w:t>
      </w:r>
      <w:r w:rsidRPr="00875208">
        <w:rPr>
          <w:b/>
          <w:sz w:val="24"/>
          <w:szCs w:val="24"/>
        </w:rPr>
        <w:t xml:space="preserve"> (</w:t>
      </w:r>
      <w:r w:rsidR="00AA3700">
        <w:rPr>
          <w:b/>
          <w:sz w:val="24"/>
          <w:szCs w:val="24"/>
        </w:rPr>
        <w:t>2</w:t>
      </w:r>
      <w:r w:rsidRPr="00875208">
        <w:rPr>
          <w:b/>
          <w:sz w:val="24"/>
          <w:szCs w:val="24"/>
        </w:rPr>
        <w:t xml:space="preserve">) </w:t>
      </w:r>
      <w:r w:rsidR="00D64341">
        <w:rPr>
          <w:b/>
          <w:sz w:val="24"/>
          <w:szCs w:val="24"/>
        </w:rPr>
        <w:t>application</w:t>
      </w:r>
      <w:r w:rsidR="00AA3700">
        <w:rPr>
          <w:b/>
          <w:sz w:val="24"/>
          <w:szCs w:val="24"/>
        </w:rPr>
        <w:t>s</w:t>
      </w:r>
      <w:r w:rsidR="00AA3700">
        <w:rPr>
          <w:sz w:val="24"/>
          <w:szCs w:val="24"/>
        </w:rPr>
        <w:t xml:space="preserve"> </w:t>
      </w:r>
      <w:r w:rsidRPr="00875208">
        <w:rPr>
          <w:sz w:val="24"/>
          <w:szCs w:val="24"/>
        </w:rPr>
        <w:t>under this Call for proposals.</w:t>
      </w:r>
    </w:p>
    <w:p w:rsidR="00C0480E" w:rsidRPr="00875208" w:rsidRDefault="00C0480E" w:rsidP="00C0480E">
      <w:pPr>
        <w:spacing w:after="240"/>
        <w:rPr>
          <w:sz w:val="24"/>
          <w:szCs w:val="24"/>
        </w:rPr>
      </w:pPr>
      <w:r w:rsidRPr="00875208">
        <w:rPr>
          <w:sz w:val="24"/>
          <w:szCs w:val="24"/>
        </w:rPr>
        <w:t xml:space="preserve">An applicant may not be awarded more than </w:t>
      </w:r>
      <w:r w:rsidRPr="00875208">
        <w:rPr>
          <w:b/>
          <w:sz w:val="24"/>
          <w:szCs w:val="24"/>
        </w:rPr>
        <w:t>one (1) grant</w:t>
      </w:r>
      <w:r w:rsidRPr="00875208">
        <w:rPr>
          <w:sz w:val="24"/>
          <w:szCs w:val="24"/>
        </w:rPr>
        <w:t xml:space="preserve"> under this </w:t>
      </w:r>
      <w:r w:rsidR="00E65DB6" w:rsidRPr="00875208">
        <w:rPr>
          <w:sz w:val="24"/>
          <w:szCs w:val="24"/>
        </w:rPr>
        <w:t>C</w:t>
      </w:r>
      <w:r w:rsidRPr="00875208">
        <w:rPr>
          <w:sz w:val="24"/>
          <w:szCs w:val="24"/>
        </w:rPr>
        <w:t>all for proposals</w:t>
      </w:r>
      <w:r w:rsidR="00DF1C1A">
        <w:rPr>
          <w:sz w:val="24"/>
          <w:szCs w:val="24"/>
        </w:rPr>
        <w:t>, in the role of applicant</w:t>
      </w:r>
      <w:r w:rsidRPr="00875208">
        <w:rPr>
          <w:sz w:val="24"/>
          <w:szCs w:val="24"/>
        </w:rPr>
        <w:t>.</w:t>
      </w:r>
    </w:p>
    <w:p w:rsidR="00D64341" w:rsidRPr="007B7091" w:rsidRDefault="00D64341" w:rsidP="00D64341">
      <w:pPr>
        <w:rPr>
          <w:sz w:val="24"/>
          <w:szCs w:val="24"/>
        </w:rPr>
      </w:pPr>
      <w:r w:rsidRPr="007B7091">
        <w:rPr>
          <w:sz w:val="24"/>
          <w:szCs w:val="24"/>
        </w:rPr>
        <w:t xml:space="preserve">The applicant </w:t>
      </w:r>
      <w:r w:rsidR="00DF1C1A" w:rsidRPr="007B7091">
        <w:rPr>
          <w:sz w:val="24"/>
          <w:szCs w:val="24"/>
        </w:rPr>
        <w:t>may</w:t>
      </w:r>
      <w:r w:rsidRPr="007B7091">
        <w:rPr>
          <w:sz w:val="24"/>
          <w:szCs w:val="24"/>
        </w:rPr>
        <w:t xml:space="preserve"> be a co-applicant or an affiliated entity in another application at the same time.</w:t>
      </w:r>
    </w:p>
    <w:p w:rsidR="001327FD" w:rsidRPr="00875208" w:rsidRDefault="001327FD" w:rsidP="001327FD">
      <w:pPr>
        <w:spacing w:after="240"/>
        <w:rPr>
          <w:sz w:val="24"/>
          <w:szCs w:val="24"/>
          <w:lang w:val="en-US"/>
        </w:rPr>
      </w:pPr>
      <w:r w:rsidRPr="00875208">
        <w:rPr>
          <w:sz w:val="24"/>
          <w:szCs w:val="24"/>
        </w:rPr>
        <w:t xml:space="preserve">A co-applicant </w:t>
      </w:r>
      <w:r w:rsidRPr="00875208">
        <w:rPr>
          <w:sz w:val="24"/>
          <w:szCs w:val="24"/>
          <w:lang w:val="en-US"/>
        </w:rPr>
        <w:t xml:space="preserve">may not submit more than 2 applications under this Call </w:t>
      </w:r>
      <w:r w:rsidR="007B75DE" w:rsidRPr="00875208">
        <w:rPr>
          <w:sz w:val="24"/>
          <w:szCs w:val="24"/>
          <w:lang w:val="en-US"/>
        </w:rPr>
        <w:t xml:space="preserve">for </w:t>
      </w:r>
      <w:r w:rsidRPr="00875208">
        <w:rPr>
          <w:sz w:val="24"/>
          <w:szCs w:val="24"/>
          <w:lang w:val="en-US"/>
        </w:rPr>
        <w:t>proposals</w:t>
      </w:r>
      <w:r w:rsidR="00B4076D">
        <w:rPr>
          <w:sz w:val="24"/>
          <w:szCs w:val="24"/>
          <w:lang w:val="en-US"/>
        </w:rPr>
        <w:t>.</w:t>
      </w:r>
    </w:p>
    <w:p w:rsidR="001327FD" w:rsidRPr="00875208" w:rsidRDefault="001327FD" w:rsidP="001327FD">
      <w:pPr>
        <w:spacing w:after="240"/>
        <w:rPr>
          <w:sz w:val="24"/>
          <w:szCs w:val="24"/>
          <w:lang w:val="en-US"/>
        </w:rPr>
      </w:pPr>
      <w:r w:rsidRPr="00875208">
        <w:rPr>
          <w:sz w:val="24"/>
          <w:szCs w:val="24"/>
          <w:lang w:val="en-US"/>
        </w:rPr>
        <w:t xml:space="preserve">A co-applicant may not be awarded more than 2 grants under this Call </w:t>
      </w:r>
      <w:r w:rsidR="00E65DB6" w:rsidRPr="00875208">
        <w:rPr>
          <w:sz w:val="24"/>
          <w:szCs w:val="24"/>
          <w:lang w:val="en-US"/>
        </w:rPr>
        <w:t xml:space="preserve">for </w:t>
      </w:r>
      <w:r w:rsidRPr="00875208">
        <w:rPr>
          <w:sz w:val="24"/>
          <w:szCs w:val="24"/>
          <w:lang w:val="en-US"/>
        </w:rPr>
        <w:t>proposals</w:t>
      </w:r>
      <w:r w:rsidR="00B4076D">
        <w:rPr>
          <w:sz w:val="24"/>
          <w:szCs w:val="24"/>
          <w:lang w:val="en-US"/>
        </w:rPr>
        <w:t>.</w:t>
      </w:r>
    </w:p>
    <w:p w:rsidR="00D51E17" w:rsidRPr="00875208" w:rsidRDefault="00D51E17" w:rsidP="00D51E17">
      <w:pPr>
        <w:spacing w:after="240"/>
        <w:rPr>
          <w:sz w:val="24"/>
          <w:szCs w:val="24"/>
          <w:lang w:val="en-US"/>
        </w:rPr>
      </w:pPr>
      <w:r w:rsidRPr="00875208">
        <w:rPr>
          <w:snapToGrid/>
          <w:sz w:val="24"/>
          <w:szCs w:val="24"/>
        </w:rPr>
        <w:t xml:space="preserve">Affiliated entity(ies) </w:t>
      </w:r>
      <w:r w:rsidRPr="00875208">
        <w:rPr>
          <w:sz w:val="24"/>
          <w:szCs w:val="24"/>
          <w:lang w:val="en-US"/>
        </w:rPr>
        <w:t>may not submit more than 2 applications under this Call for proposals</w:t>
      </w:r>
      <w:r w:rsidR="00B4076D">
        <w:rPr>
          <w:sz w:val="24"/>
          <w:szCs w:val="24"/>
          <w:lang w:val="en-US"/>
        </w:rPr>
        <w:t>.</w:t>
      </w:r>
    </w:p>
    <w:p w:rsidR="00D51E17" w:rsidRPr="00875208" w:rsidRDefault="00D51E17" w:rsidP="00D51E17">
      <w:pPr>
        <w:spacing w:after="240"/>
        <w:rPr>
          <w:sz w:val="24"/>
          <w:szCs w:val="24"/>
          <w:lang w:val="en-US"/>
        </w:rPr>
      </w:pPr>
      <w:r w:rsidRPr="00875208">
        <w:rPr>
          <w:snapToGrid/>
          <w:sz w:val="24"/>
          <w:szCs w:val="24"/>
        </w:rPr>
        <w:t xml:space="preserve">Affiliated entity(ies) </w:t>
      </w:r>
      <w:r w:rsidRPr="00875208">
        <w:rPr>
          <w:sz w:val="24"/>
          <w:szCs w:val="24"/>
          <w:lang w:val="en-US"/>
        </w:rPr>
        <w:t>may not be awarded more than 2 grants under this Call for proposals</w:t>
      </w:r>
      <w:r w:rsidR="00B4076D">
        <w:rPr>
          <w:sz w:val="24"/>
          <w:szCs w:val="24"/>
          <w:lang w:val="en-US"/>
        </w:rPr>
        <w:t>.</w:t>
      </w:r>
    </w:p>
    <w:p w:rsidR="001327FD" w:rsidRPr="00875208" w:rsidRDefault="001327FD" w:rsidP="00C0480E">
      <w:pPr>
        <w:spacing w:after="240"/>
        <w:rPr>
          <w:sz w:val="24"/>
          <w:szCs w:val="24"/>
        </w:rPr>
      </w:pPr>
    </w:p>
    <w:p w:rsidR="0007408E" w:rsidRPr="00875208" w:rsidRDefault="0007408E" w:rsidP="00203ABF">
      <w:pPr>
        <w:pStyle w:val="Guidelines3"/>
        <w:rPr>
          <w:szCs w:val="24"/>
        </w:rPr>
      </w:pPr>
      <w:bookmarkStart w:id="17" w:name="_Toc384374704"/>
      <w:r w:rsidRPr="00875208">
        <w:rPr>
          <w:szCs w:val="24"/>
        </w:rPr>
        <w:t xml:space="preserve">Eligibility of costs: costs </w:t>
      </w:r>
      <w:r w:rsidR="00302E84" w:rsidRPr="00875208">
        <w:rPr>
          <w:szCs w:val="24"/>
        </w:rPr>
        <w:t>that can</w:t>
      </w:r>
      <w:r w:rsidR="003137E2" w:rsidRPr="00875208">
        <w:rPr>
          <w:szCs w:val="24"/>
        </w:rPr>
        <w:t xml:space="preserve"> be</w:t>
      </w:r>
      <w:r w:rsidR="00201798">
        <w:rPr>
          <w:szCs w:val="24"/>
        </w:rPr>
        <w:t xml:space="preserve"> </w:t>
      </w:r>
      <w:r w:rsidR="00A575A2" w:rsidRPr="00875208">
        <w:rPr>
          <w:szCs w:val="24"/>
        </w:rPr>
        <w:t>included</w:t>
      </w:r>
      <w:bookmarkEnd w:id="17"/>
    </w:p>
    <w:p w:rsidR="009F4DBB" w:rsidRPr="00875208" w:rsidRDefault="0007408E" w:rsidP="006B6048">
      <w:pPr>
        <w:spacing w:before="240"/>
        <w:rPr>
          <w:sz w:val="24"/>
          <w:szCs w:val="24"/>
        </w:rPr>
      </w:pPr>
      <w:r w:rsidRPr="00875208">
        <w:rPr>
          <w:sz w:val="24"/>
          <w:szCs w:val="24"/>
        </w:rPr>
        <w:t xml:space="preserve">Only </w:t>
      </w:r>
      <w:r w:rsidR="00A016F9" w:rsidRPr="00875208">
        <w:rPr>
          <w:sz w:val="24"/>
          <w:szCs w:val="24"/>
        </w:rPr>
        <w:t>‘</w:t>
      </w:r>
      <w:r w:rsidR="00356DFC" w:rsidRPr="00875208">
        <w:rPr>
          <w:sz w:val="24"/>
          <w:szCs w:val="24"/>
        </w:rPr>
        <w:t>eligible costs</w:t>
      </w:r>
      <w:r w:rsidR="00A016F9" w:rsidRPr="00875208">
        <w:rPr>
          <w:sz w:val="24"/>
          <w:szCs w:val="24"/>
        </w:rPr>
        <w:t>’</w:t>
      </w:r>
      <w:r w:rsidR="00201798">
        <w:rPr>
          <w:sz w:val="24"/>
          <w:szCs w:val="24"/>
        </w:rPr>
        <w:t xml:space="preserve"> </w:t>
      </w:r>
      <w:r w:rsidRPr="00875208">
        <w:rPr>
          <w:sz w:val="24"/>
          <w:szCs w:val="24"/>
        </w:rPr>
        <w:t xml:space="preserve">can be </w:t>
      </w:r>
      <w:r w:rsidR="000B1032" w:rsidRPr="00875208">
        <w:rPr>
          <w:sz w:val="24"/>
          <w:szCs w:val="24"/>
        </w:rPr>
        <w:t>covered by</w:t>
      </w:r>
      <w:r w:rsidRPr="00875208">
        <w:rPr>
          <w:sz w:val="24"/>
          <w:szCs w:val="24"/>
        </w:rPr>
        <w:t xml:space="preserve"> a grant. The</w:t>
      </w:r>
      <w:r w:rsidR="000735EC" w:rsidRPr="00875208">
        <w:rPr>
          <w:sz w:val="24"/>
          <w:szCs w:val="24"/>
        </w:rPr>
        <w:t xml:space="preserve"> categories of costs </w:t>
      </w:r>
      <w:r w:rsidR="00A575A2" w:rsidRPr="00875208">
        <w:rPr>
          <w:sz w:val="24"/>
          <w:szCs w:val="24"/>
        </w:rPr>
        <w:t>that are</w:t>
      </w:r>
      <w:r w:rsidR="000735EC" w:rsidRPr="00875208">
        <w:rPr>
          <w:sz w:val="24"/>
          <w:szCs w:val="24"/>
        </w:rPr>
        <w:t xml:space="preserve"> eligible and non-eligible are indicated below.</w:t>
      </w:r>
      <w:r w:rsidR="00BC6A91">
        <w:rPr>
          <w:sz w:val="24"/>
          <w:szCs w:val="24"/>
        </w:rPr>
        <w:t xml:space="preserve"> </w:t>
      </w:r>
      <w:r w:rsidRPr="00875208">
        <w:rPr>
          <w:sz w:val="24"/>
          <w:szCs w:val="24"/>
        </w:rPr>
        <w:t>The budget is both a cost estimate and a</w:t>
      </w:r>
      <w:r w:rsidR="009444A8" w:rsidRPr="00875208">
        <w:rPr>
          <w:sz w:val="24"/>
          <w:szCs w:val="24"/>
        </w:rPr>
        <w:t>n</w:t>
      </w:r>
      <w:r w:rsidR="00BC6A91">
        <w:rPr>
          <w:sz w:val="24"/>
          <w:szCs w:val="24"/>
        </w:rPr>
        <w:t xml:space="preserve"> </w:t>
      </w:r>
      <w:r w:rsidR="009444A8" w:rsidRPr="00875208">
        <w:rPr>
          <w:sz w:val="24"/>
          <w:szCs w:val="24"/>
        </w:rPr>
        <w:t xml:space="preserve">overall </w:t>
      </w:r>
      <w:r w:rsidRPr="00875208">
        <w:rPr>
          <w:sz w:val="24"/>
          <w:szCs w:val="24"/>
        </w:rPr>
        <w:t xml:space="preserve">ceiling for </w:t>
      </w:r>
      <w:r w:rsidR="00A016F9" w:rsidRPr="00875208">
        <w:rPr>
          <w:sz w:val="24"/>
          <w:szCs w:val="24"/>
        </w:rPr>
        <w:t>‘</w:t>
      </w:r>
      <w:r w:rsidRPr="00875208">
        <w:rPr>
          <w:sz w:val="24"/>
          <w:szCs w:val="24"/>
        </w:rPr>
        <w:t>eligible costs</w:t>
      </w:r>
      <w:r w:rsidR="00A016F9" w:rsidRPr="00875208">
        <w:rPr>
          <w:sz w:val="24"/>
          <w:szCs w:val="24"/>
        </w:rPr>
        <w:t>’</w:t>
      </w:r>
      <w:r w:rsidRPr="00875208">
        <w:rPr>
          <w:sz w:val="24"/>
          <w:szCs w:val="24"/>
        </w:rPr>
        <w:t xml:space="preserve">. </w:t>
      </w:r>
    </w:p>
    <w:p w:rsidR="00B17D2F" w:rsidRPr="00875208" w:rsidRDefault="00B17D2F" w:rsidP="006B6048">
      <w:pPr>
        <w:rPr>
          <w:sz w:val="24"/>
          <w:szCs w:val="24"/>
        </w:rPr>
      </w:pPr>
      <w:r w:rsidRPr="00875208">
        <w:rPr>
          <w:sz w:val="24"/>
          <w:szCs w:val="24"/>
        </w:rPr>
        <w:t>The reimbursement of eligible costs may be based on any or a combination of the following forms:</w:t>
      </w:r>
    </w:p>
    <w:p w:rsidR="00463413" w:rsidRPr="00875208" w:rsidRDefault="00463413" w:rsidP="00904785">
      <w:pPr>
        <w:numPr>
          <w:ilvl w:val="0"/>
          <w:numId w:val="5"/>
        </w:numPr>
        <w:rPr>
          <w:sz w:val="24"/>
          <w:szCs w:val="24"/>
        </w:rPr>
      </w:pPr>
      <w:r w:rsidRPr="00875208">
        <w:rPr>
          <w:sz w:val="24"/>
          <w:szCs w:val="24"/>
        </w:rPr>
        <w:t>actual costs incurred</w:t>
      </w:r>
      <w:r w:rsidR="001C71F8" w:rsidRPr="00875208">
        <w:rPr>
          <w:sz w:val="24"/>
          <w:szCs w:val="24"/>
        </w:rPr>
        <w:t xml:space="preserve"> by the Beneficiary(ies) and affiliated entity(ies)</w:t>
      </w:r>
    </w:p>
    <w:p w:rsidR="00B17D2F" w:rsidRPr="00875208" w:rsidRDefault="00463413" w:rsidP="00904785">
      <w:pPr>
        <w:numPr>
          <w:ilvl w:val="0"/>
          <w:numId w:val="5"/>
        </w:numPr>
        <w:rPr>
          <w:sz w:val="24"/>
          <w:szCs w:val="24"/>
        </w:rPr>
      </w:pPr>
      <w:r w:rsidRPr="00875208">
        <w:rPr>
          <w:sz w:val="24"/>
          <w:szCs w:val="24"/>
        </w:rPr>
        <w:t>one or more simplified cost options</w:t>
      </w:r>
      <w:r w:rsidR="00B17D2F" w:rsidRPr="00875208">
        <w:rPr>
          <w:sz w:val="24"/>
          <w:szCs w:val="24"/>
        </w:rPr>
        <w:t>.</w:t>
      </w:r>
    </w:p>
    <w:p w:rsidR="004C6EBC" w:rsidRDefault="004C6EBC" w:rsidP="006B6048">
      <w:pPr>
        <w:rPr>
          <w:sz w:val="24"/>
          <w:szCs w:val="24"/>
        </w:rPr>
      </w:pPr>
    </w:p>
    <w:p w:rsidR="008109C1" w:rsidRPr="00875208" w:rsidRDefault="008109C1" w:rsidP="006B6048">
      <w:pPr>
        <w:rPr>
          <w:b/>
          <w:sz w:val="24"/>
          <w:szCs w:val="24"/>
        </w:rPr>
      </w:pPr>
      <w:r w:rsidRPr="00875208">
        <w:rPr>
          <w:sz w:val="24"/>
          <w:szCs w:val="24"/>
        </w:rPr>
        <w:lastRenderedPageBreak/>
        <w:t>Simplified cost options may take the form of:</w:t>
      </w:r>
    </w:p>
    <w:p w:rsidR="008109C1" w:rsidRPr="00875208" w:rsidRDefault="008109C1" w:rsidP="00904785">
      <w:pPr>
        <w:numPr>
          <w:ilvl w:val="0"/>
          <w:numId w:val="6"/>
        </w:numPr>
        <w:rPr>
          <w:sz w:val="24"/>
          <w:szCs w:val="24"/>
        </w:rPr>
      </w:pPr>
      <w:r w:rsidRPr="00875208">
        <w:rPr>
          <w:b/>
          <w:sz w:val="24"/>
          <w:szCs w:val="24"/>
        </w:rPr>
        <w:t>unit costs:</w:t>
      </w:r>
      <w:r w:rsidRPr="00875208">
        <w:rPr>
          <w:sz w:val="24"/>
          <w:szCs w:val="24"/>
        </w:rPr>
        <w:t xml:space="preserve"> covering all or certain specific categories of eligible costs which are clearly identified in advance by reference to an </w:t>
      </w:r>
      <w:r w:rsidRPr="00875208">
        <w:rPr>
          <w:sz w:val="24"/>
          <w:szCs w:val="24"/>
          <w:u w:val="single"/>
        </w:rPr>
        <w:t>amount per unit</w:t>
      </w:r>
      <w:r w:rsidRPr="00875208">
        <w:rPr>
          <w:sz w:val="24"/>
          <w:szCs w:val="24"/>
        </w:rPr>
        <w:t>.</w:t>
      </w:r>
    </w:p>
    <w:p w:rsidR="008109C1" w:rsidRPr="00875208" w:rsidRDefault="008109C1" w:rsidP="00904785">
      <w:pPr>
        <w:numPr>
          <w:ilvl w:val="0"/>
          <w:numId w:val="6"/>
        </w:numPr>
        <w:rPr>
          <w:sz w:val="24"/>
          <w:szCs w:val="24"/>
        </w:rPr>
      </w:pPr>
      <w:r w:rsidRPr="00875208">
        <w:rPr>
          <w:b/>
          <w:sz w:val="24"/>
          <w:szCs w:val="24"/>
        </w:rPr>
        <w:t xml:space="preserve">lump sums: </w:t>
      </w:r>
      <w:r w:rsidRPr="00875208">
        <w:rPr>
          <w:sz w:val="24"/>
          <w:szCs w:val="24"/>
        </w:rPr>
        <w:t xml:space="preserve">covering in </w:t>
      </w:r>
      <w:r w:rsidRPr="00875208">
        <w:rPr>
          <w:sz w:val="24"/>
          <w:szCs w:val="24"/>
          <w:u w:val="single"/>
        </w:rPr>
        <w:t>global terms</w:t>
      </w:r>
      <w:r w:rsidRPr="00875208">
        <w:rPr>
          <w:sz w:val="24"/>
          <w:szCs w:val="24"/>
        </w:rPr>
        <w:t xml:space="preserve"> all or certain specific categories of eligible costs which are clearly identified in advance.</w:t>
      </w:r>
    </w:p>
    <w:p w:rsidR="008109C1" w:rsidRPr="00875208" w:rsidRDefault="008109C1" w:rsidP="00904785">
      <w:pPr>
        <w:numPr>
          <w:ilvl w:val="0"/>
          <w:numId w:val="6"/>
        </w:numPr>
        <w:rPr>
          <w:sz w:val="24"/>
          <w:szCs w:val="24"/>
        </w:rPr>
      </w:pPr>
      <w:r w:rsidRPr="00875208">
        <w:rPr>
          <w:b/>
          <w:sz w:val="24"/>
          <w:szCs w:val="24"/>
        </w:rPr>
        <w:t xml:space="preserve">flat-rate financing: </w:t>
      </w:r>
      <w:r w:rsidRPr="00875208">
        <w:rPr>
          <w:sz w:val="24"/>
          <w:szCs w:val="24"/>
        </w:rPr>
        <w:t xml:space="preserve">covering specific categories of eligible costs which are clearly identified in advance by </w:t>
      </w:r>
      <w:r w:rsidRPr="00875208">
        <w:rPr>
          <w:sz w:val="24"/>
          <w:szCs w:val="24"/>
          <w:u w:val="single"/>
        </w:rPr>
        <w:t>applying a percentage</w:t>
      </w:r>
      <w:r w:rsidRPr="00875208">
        <w:rPr>
          <w:sz w:val="24"/>
          <w:szCs w:val="24"/>
        </w:rPr>
        <w:t xml:space="preserve"> fixed ex ante.</w:t>
      </w:r>
    </w:p>
    <w:p w:rsidR="007E5576" w:rsidRPr="00875208" w:rsidRDefault="007E5576" w:rsidP="0068216F">
      <w:pPr>
        <w:rPr>
          <w:sz w:val="24"/>
          <w:szCs w:val="24"/>
        </w:rPr>
      </w:pPr>
      <w:r w:rsidRPr="00875208">
        <w:rPr>
          <w:sz w:val="24"/>
          <w:szCs w:val="24"/>
        </w:rPr>
        <w:t>The amounts</w:t>
      </w:r>
      <w:r w:rsidR="006A7D36" w:rsidRPr="00875208">
        <w:rPr>
          <w:sz w:val="24"/>
          <w:szCs w:val="24"/>
        </w:rPr>
        <w:t xml:space="preserve"> or rates</w:t>
      </w:r>
      <w:r w:rsidRPr="00875208">
        <w:rPr>
          <w:sz w:val="24"/>
          <w:szCs w:val="24"/>
        </w:rPr>
        <w:t xml:space="preserve"> have to be based on estimates using objective data such as statistical data or any other objective means or with reference to certified or auditable historical data of the </w:t>
      </w:r>
      <w:r w:rsidR="001C71F8" w:rsidRPr="00875208">
        <w:rPr>
          <w:sz w:val="24"/>
          <w:szCs w:val="24"/>
        </w:rPr>
        <w:t>a</w:t>
      </w:r>
      <w:r w:rsidRPr="00875208">
        <w:rPr>
          <w:sz w:val="24"/>
          <w:szCs w:val="24"/>
        </w:rPr>
        <w:t>pplicant</w:t>
      </w:r>
      <w:r w:rsidR="001C71F8" w:rsidRPr="00875208">
        <w:rPr>
          <w:sz w:val="24"/>
          <w:szCs w:val="24"/>
        </w:rPr>
        <w:t>s or the affiliated entity(ies)</w:t>
      </w:r>
      <w:r w:rsidRPr="00875208">
        <w:rPr>
          <w:sz w:val="24"/>
          <w:szCs w:val="24"/>
        </w:rPr>
        <w:t>. The methods used to determine the amounts</w:t>
      </w:r>
      <w:r w:rsidR="001C71F8" w:rsidRPr="00875208">
        <w:rPr>
          <w:sz w:val="24"/>
          <w:szCs w:val="24"/>
        </w:rPr>
        <w:t xml:space="preserve"> or rates</w:t>
      </w:r>
      <w:r w:rsidRPr="00875208">
        <w:rPr>
          <w:sz w:val="24"/>
          <w:szCs w:val="24"/>
        </w:rPr>
        <w:t xml:space="preserve"> of unit costs, lump sums or flat-rates must comply with the criteria established in Annex </w:t>
      </w:r>
      <w:r w:rsidR="0019373F" w:rsidRPr="00875208">
        <w:rPr>
          <w:sz w:val="24"/>
          <w:szCs w:val="24"/>
        </w:rPr>
        <w:t>K</w:t>
      </w:r>
      <w:r w:rsidRPr="00875208">
        <w:rPr>
          <w:sz w:val="24"/>
          <w:szCs w:val="24"/>
        </w:rPr>
        <w:t xml:space="preserve">, and especially ensure that the costs correspond fairly to the actual costs incurred by the Grant </w:t>
      </w:r>
      <w:r w:rsidR="001C71F8" w:rsidRPr="00875208">
        <w:rPr>
          <w:sz w:val="24"/>
          <w:szCs w:val="24"/>
        </w:rPr>
        <w:t>Beneficiary(ies) and affiliated entity(ies),</w:t>
      </w:r>
      <w:r w:rsidR="0019373F" w:rsidRPr="00875208">
        <w:rPr>
          <w:sz w:val="24"/>
          <w:szCs w:val="24"/>
        </w:rPr>
        <w:t xml:space="preserve"> are in line with their</w:t>
      </w:r>
      <w:r w:rsidRPr="00875208">
        <w:rPr>
          <w:sz w:val="24"/>
          <w:szCs w:val="24"/>
        </w:rPr>
        <w:t xml:space="preserve"> accounting practices, no profit is made and the costs are not already covered by other sources of funding (no double funding). </w:t>
      </w:r>
      <w:r w:rsidR="00A02946" w:rsidRPr="00875208">
        <w:rPr>
          <w:sz w:val="24"/>
          <w:szCs w:val="24"/>
        </w:rPr>
        <w:t xml:space="preserve">Refer to </w:t>
      </w:r>
      <w:r w:rsidRPr="00875208">
        <w:rPr>
          <w:sz w:val="24"/>
          <w:szCs w:val="24"/>
        </w:rPr>
        <w:t xml:space="preserve">Annex </w:t>
      </w:r>
      <w:r w:rsidR="0019373F" w:rsidRPr="00875208">
        <w:rPr>
          <w:sz w:val="24"/>
          <w:szCs w:val="24"/>
        </w:rPr>
        <w:t>K</w:t>
      </w:r>
      <w:r w:rsidR="00A02946" w:rsidRPr="00875208">
        <w:rPr>
          <w:sz w:val="24"/>
          <w:szCs w:val="24"/>
        </w:rPr>
        <w:t>for</w:t>
      </w:r>
      <w:r w:rsidRPr="00875208">
        <w:rPr>
          <w:sz w:val="24"/>
          <w:szCs w:val="24"/>
        </w:rPr>
        <w:t xml:space="preserve"> directions and a checklist of controls to assess the minimum necessary conditions that provide reasonable assurance for the acceptance of the proposed amounts.</w:t>
      </w:r>
    </w:p>
    <w:p w:rsidR="0080592F" w:rsidRPr="00875208" w:rsidRDefault="0080592F" w:rsidP="0068216F">
      <w:pPr>
        <w:rPr>
          <w:sz w:val="24"/>
          <w:szCs w:val="24"/>
        </w:rPr>
      </w:pPr>
      <w:r w:rsidRPr="00875208">
        <w:rPr>
          <w:sz w:val="24"/>
          <w:szCs w:val="24"/>
        </w:rPr>
        <w:t xml:space="preserve">The applicant proposing this form of reimbursement, must clearly indicate in worksheet no.1 of Annex B, each heading/item  of eligible costs concerned by this type of financing, i.e. add the reference in capital letters to "UNIT </w:t>
      </w:r>
      <w:r w:rsidR="007D1451" w:rsidRPr="00875208">
        <w:rPr>
          <w:sz w:val="24"/>
          <w:szCs w:val="24"/>
        </w:rPr>
        <w:t>COST</w:t>
      </w:r>
      <w:r w:rsidRPr="00875208">
        <w:rPr>
          <w:sz w:val="24"/>
          <w:szCs w:val="24"/>
        </w:rPr>
        <w:t>" (per month/flight etc), "LUMPSUM" or "FLAT RATE" in the Unit column. (see example in Annex K)</w:t>
      </w:r>
      <w:r w:rsidR="00C36E9A">
        <w:rPr>
          <w:sz w:val="24"/>
          <w:szCs w:val="24"/>
        </w:rPr>
        <w:t>.</w:t>
      </w:r>
    </w:p>
    <w:p w:rsidR="00E47803" w:rsidRPr="00875208" w:rsidRDefault="00E47803" w:rsidP="0068216F">
      <w:pPr>
        <w:rPr>
          <w:sz w:val="24"/>
          <w:szCs w:val="24"/>
        </w:rPr>
      </w:pPr>
      <w:r w:rsidRPr="00875208">
        <w:rPr>
          <w:sz w:val="24"/>
          <w:szCs w:val="24"/>
        </w:rPr>
        <w:t xml:space="preserve">Additionally in Annex </w:t>
      </w:r>
      <w:r w:rsidR="001C71F8" w:rsidRPr="00875208">
        <w:rPr>
          <w:sz w:val="24"/>
          <w:szCs w:val="24"/>
        </w:rPr>
        <w:t>B</w:t>
      </w:r>
      <w:r w:rsidRPr="00875208">
        <w:rPr>
          <w:sz w:val="24"/>
          <w:szCs w:val="24"/>
        </w:rPr>
        <w:t>, in the second column of worksheet no.2, "Justification of the estimated costs" per each of the corresponding budget item or heading the applicant must:</w:t>
      </w:r>
    </w:p>
    <w:p w:rsidR="00E47803" w:rsidRPr="00875208" w:rsidRDefault="00E47803" w:rsidP="00904785">
      <w:pPr>
        <w:numPr>
          <w:ilvl w:val="0"/>
          <w:numId w:val="7"/>
        </w:numPr>
        <w:rPr>
          <w:sz w:val="24"/>
          <w:szCs w:val="24"/>
        </w:rPr>
      </w:pPr>
      <w:r w:rsidRPr="00875208">
        <w:rPr>
          <w:sz w:val="24"/>
          <w:szCs w:val="24"/>
        </w:rPr>
        <w:t>describe the information and methods used to establish the amounts of unit costs, lump sums and/or flat-rates, to which costs they refer</w:t>
      </w:r>
      <w:r w:rsidR="0090351E" w:rsidRPr="00875208">
        <w:rPr>
          <w:sz w:val="24"/>
          <w:szCs w:val="24"/>
        </w:rPr>
        <w:t>, etc.</w:t>
      </w:r>
    </w:p>
    <w:p w:rsidR="00E47803" w:rsidRPr="00875208" w:rsidRDefault="00E47803" w:rsidP="00904785">
      <w:pPr>
        <w:numPr>
          <w:ilvl w:val="0"/>
          <w:numId w:val="7"/>
        </w:numPr>
        <w:rPr>
          <w:bCs/>
          <w:sz w:val="24"/>
          <w:szCs w:val="24"/>
        </w:rPr>
      </w:pPr>
      <w:r w:rsidRPr="00875208">
        <w:rPr>
          <w:sz w:val="24"/>
          <w:szCs w:val="24"/>
        </w:rPr>
        <w:t>clearly explain the formulas for calculation of the final eligible amount</w:t>
      </w:r>
      <w:r w:rsidRPr="00875208">
        <w:rPr>
          <w:rStyle w:val="FootnoteReference"/>
          <w:szCs w:val="24"/>
        </w:rPr>
        <w:footnoteReference w:id="17"/>
      </w:r>
    </w:p>
    <w:p w:rsidR="00E47803" w:rsidRPr="00875208" w:rsidRDefault="00A02946" w:rsidP="00904785">
      <w:pPr>
        <w:numPr>
          <w:ilvl w:val="0"/>
          <w:numId w:val="7"/>
        </w:numPr>
        <w:rPr>
          <w:sz w:val="24"/>
          <w:szCs w:val="24"/>
        </w:rPr>
      </w:pPr>
      <w:r w:rsidRPr="00875208">
        <w:rPr>
          <w:sz w:val="24"/>
          <w:szCs w:val="24"/>
        </w:rPr>
        <w:t xml:space="preserve">identify the beneficiary who will use the simplified cost option (in case of affiliated entity, specify first the beneficiary), in order to verify the maximum amount </w:t>
      </w:r>
      <w:r w:rsidR="00E47803" w:rsidRPr="00875208">
        <w:rPr>
          <w:sz w:val="24"/>
          <w:szCs w:val="24"/>
        </w:rPr>
        <w:t xml:space="preserve">per </w:t>
      </w:r>
      <w:r w:rsidR="001C71F8" w:rsidRPr="00875208">
        <w:rPr>
          <w:sz w:val="24"/>
          <w:szCs w:val="24"/>
        </w:rPr>
        <w:t xml:space="preserve">each </w:t>
      </w:r>
      <w:r w:rsidR="00E47803" w:rsidRPr="00875208">
        <w:rPr>
          <w:sz w:val="24"/>
          <w:szCs w:val="24"/>
        </w:rPr>
        <w:t>beneficiary</w:t>
      </w:r>
      <w:r w:rsidR="001C71F8" w:rsidRPr="00875208">
        <w:rPr>
          <w:sz w:val="24"/>
          <w:szCs w:val="24"/>
        </w:rPr>
        <w:t xml:space="preserve"> (which includ</w:t>
      </w:r>
      <w:r w:rsidR="00625380" w:rsidRPr="00875208">
        <w:rPr>
          <w:sz w:val="24"/>
          <w:szCs w:val="24"/>
        </w:rPr>
        <w:t xml:space="preserve">es if applicable simplified cost options of </w:t>
      </w:r>
      <w:r w:rsidR="001C71F8" w:rsidRPr="00875208">
        <w:rPr>
          <w:sz w:val="24"/>
          <w:szCs w:val="24"/>
        </w:rPr>
        <w:t>its affiliated entity(ies))</w:t>
      </w:r>
    </w:p>
    <w:p w:rsidR="006A7D36" w:rsidRPr="00875208" w:rsidRDefault="006A7D36" w:rsidP="0068216F">
      <w:pPr>
        <w:rPr>
          <w:sz w:val="24"/>
          <w:szCs w:val="24"/>
        </w:rPr>
      </w:pPr>
      <w:r w:rsidRPr="00875208">
        <w:rPr>
          <w:sz w:val="24"/>
          <w:szCs w:val="24"/>
        </w:rPr>
        <w:t>At contracting phase, the Contracting Authority decides whether to accept the proposed amounts or rates on the basis of the provisional budget submitted by the applicant, by analysing factual data of grants carried out by the applicant or of similar actions and by performing checks established by</w:t>
      </w:r>
      <w:r w:rsidR="0019373F" w:rsidRPr="00875208">
        <w:rPr>
          <w:sz w:val="24"/>
          <w:szCs w:val="24"/>
        </w:rPr>
        <w:t xml:space="preserve"> Annex K</w:t>
      </w:r>
      <w:r w:rsidRPr="00875208">
        <w:rPr>
          <w:sz w:val="24"/>
          <w:szCs w:val="24"/>
        </w:rPr>
        <w:t xml:space="preserve">. </w:t>
      </w:r>
    </w:p>
    <w:p w:rsidR="006A7D36" w:rsidRPr="00875208" w:rsidRDefault="006A7D36" w:rsidP="0068216F">
      <w:pPr>
        <w:rPr>
          <w:sz w:val="24"/>
          <w:szCs w:val="24"/>
        </w:rPr>
      </w:pPr>
      <w:r w:rsidRPr="00875208">
        <w:rPr>
          <w:sz w:val="24"/>
          <w:szCs w:val="24"/>
        </w:rPr>
        <w:t xml:space="preserve">The total amount of financing on the basis of simplified cost options that can be authorised by the Contracting Authority for any of the applicants individually </w:t>
      </w:r>
      <w:r w:rsidR="00C776EE" w:rsidRPr="00875208">
        <w:rPr>
          <w:sz w:val="24"/>
          <w:szCs w:val="24"/>
        </w:rPr>
        <w:t xml:space="preserve">(including simplified cost options proposed by their own affiliated entities) </w:t>
      </w:r>
      <w:r w:rsidRPr="00875208">
        <w:rPr>
          <w:sz w:val="24"/>
          <w:szCs w:val="24"/>
        </w:rPr>
        <w:t xml:space="preserve">cannot exceed EUR 60 000 (the indirect costs </w:t>
      </w:r>
      <w:r w:rsidR="00181D7A" w:rsidRPr="00875208">
        <w:rPr>
          <w:sz w:val="24"/>
          <w:szCs w:val="24"/>
        </w:rPr>
        <w:t>are not</w:t>
      </w:r>
      <w:r w:rsidRPr="00875208">
        <w:rPr>
          <w:sz w:val="24"/>
          <w:szCs w:val="24"/>
        </w:rPr>
        <w:t xml:space="preserve"> taken into account). </w:t>
      </w:r>
    </w:p>
    <w:p w:rsidR="00D64341" w:rsidRPr="00D64341" w:rsidRDefault="00D64341" w:rsidP="0068216F">
      <w:pPr>
        <w:rPr>
          <w:b/>
          <w:sz w:val="24"/>
          <w:szCs w:val="24"/>
        </w:rPr>
      </w:pPr>
      <w:r w:rsidRPr="00D64341">
        <w:rPr>
          <w:b/>
          <w:sz w:val="24"/>
          <w:szCs w:val="24"/>
        </w:rPr>
        <w:lastRenderedPageBreak/>
        <w:t xml:space="preserve">Within this call for proposals simplified cost option can only be applied in the main budget headings 1. Human </w:t>
      </w:r>
      <w:r w:rsidR="00C36E9A" w:rsidRPr="00D64341">
        <w:rPr>
          <w:b/>
          <w:sz w:val="24"/>
          <w:szCs w:val="24"/>
        </w:rPr>
        <w:t>resources</w:t>
      </w:r>
      <w:r w:rsidR="00C36E9A">
        <w:rPr>
          <w:b/>
          <w:sz w:val="24"/>
          <w:szCs w:val="24"/>
        </w:rPr>
        <w:t xml:space="preserve"> </w:t>
      </w:r>
      <w:r w:rsidR="00C36E9A" w:rsidRPr="00D64341">
        <w:rPr>
          <w:b/>
          <w:sz w:val="24"/>
          <w:szCs w:val="24"/>
        </w:rPr>
        <w:t>and</w:t>
      </w:r>
      <w:r w:rsidRPr="00D64341">
        <w:rPr>
          <w:b/>
          <w:sz w:val="24"/>
          <w:szCs w:val="24"/>
        </w:rPr>
        <w:t xml:space="preserve"> 2. Travel costs. </w:t>
      </w:r>
    </w:p>
    <w:p w:rsidR="0007408E" w:rsidRPr="00875208" w:rsidRDefault="0007408E" w:rsidP="0068216F">
      <w:pPr>
        <w:rPr>
          <w:sz w:val="24"/>
          <w:szCs w:val="24"/>
        </w:rPr>
      </w:pPr>
      <w:r w:rsidRPr="00875208">
        <w:rPr>
          <w:sz w:val="24"/>
          <w:szCs w:val="24"/>
        </w:rPr>
        <w:t>Recommendations to award a grant are always subject to the condition that the check</w:t>
      </w:r>
      <w:r w:rsidR="002E38E4" w:rsidRPr="00875208">
        <w:rPr>
          <w:sz w:val="24"/>
          <w:szCs w:val="24"/>
        </w:rPr>
        <w:t>s</w:t>
      </w:r>
      <w:r w:rsidRPr="00875208">
        <w:rPr>
          <w:sz w:val="24"/>
          <w:szCs w:val="24"/>
        </w:rPr>
        <w:t xml:space="preserve"> preced</w:t>
      </w:r>
      <w:r w:rsidR="002E38E4" w:rsidRPr="00875208">
        <w:rPr>
          <w:sz w:val="24"/>
          <w:szCs w:val="24"/>
        </w:rPr>
        <w:t>ing</w:t>
      </w:r>
      <w:r w:rsidRPr="00875208">
        <w:rPr>
          <w:sz w:val="24"/>
          <w:szCs w:val="24"/>
        </w:rPr>
        <w:t xml:space="preserve"> the signing of the contract do not reveal problems requiring changes to the budget</w:t>
      </w:r>
      <w:r w:rsidR="00A52D95" w:rsidRPr="00875208">
        <w:rPr>
          <w:sz w:val="24"/>
          <w:szCs w:val="24"/>
        </w:rPr>
        <w:t xml:space="preserve"> (</w:t>
      </w:r>
      <w:r w:rsidR="002E38E4" w:rsidRPr="00875208">
        <w:rPr>
          <w:sz w:val="24"/>
          <w:szCs w:val="24"/>
        </w:rPr>
        <w:t>such as</w:t>
      </w:r>
      <w:r w:rsidR="00A52D95" w:rsidRPr="00875208">
        <w:rPr>
          <w:sz w:val="24"/>
          <w:szCs w:val="24"/>
        </w:rPr>
        <w:t xml:space="preserve"> arithmetical errors, inaccuracies</w:t>
      </w:r>
      <w:r w:rsidR="000B1032" w:rsidRPr="00875208">
        <w:rPr>
          <w:sz w:val="24"/>
          <w:szCs w:val="24"/>
        </w:rPr>
        <w:t>,</w:t>
      </w:r>
      <w:r w:rsidR="00A52D95" w:rsidRPr="00875208">
        <w:rPr>
          <w:sz w:val="24"/>
          <w:szCs w:val="24"/>
        </w:rPr>
        <w:t xml:space="preserve"> unrealistic c</w:t>
      </w:r>
      <w:r w:rsidR="00D7610D" w:rsidRPr="00875208">
        <w:rPr>
          <w:sz w:val="24"/>
          <w:szCs w:val="24"/>
        </w:rPr>
        <w:t>osts and ineligible costs</w:t>
      </w:r>
      <w:r w:rsidR="00A52D95" w:rsidRPr="00875208">
        <w:rPr>
          <w:sz w:val="24"/>
          <w:szCs w:val="24"/>
        </w:rPr>
        <w:t>)</w:t>
      </w:r>
      <w:r w:rsidRPr="00875208">
        <w:rPr>
          <w:sz w:val="24"/>
          <w:szCs w:val="24"/>
        </w:rPr>
        <w:t xml:space="preserve">. The checks may give rise to requests for clarification and may lead the </w:t>
      </w:r>
      <w:r w:rsidR="002E4196" w:rsidRPr="00875208">
        <w:rPr>
          <w:sz w:val="24"/>
          <w:szCs w:val="24"/>
        </w:rPr>
        <w:t>C</w:t>
      </w:r>
      <w:r w:rsidRPr="00875208">
        <w:rPr>
          <w:sz w:val="24"/>
          <w:szCs w:val="24"/>
        </w:rPr>
        <w:t xml:space="preserve">ontracting </w:t>
      </w:r>
      <w:r w:rsidR="002E4196" w:rsidRPr="00875208">
        <w:rPr>
          <w:sz w:val="24"/>
          <w:szCs w:val="24"/>
        </w:rPr>
        <w:t>A</w:t>
      </w:r>
      <w:r w:rsidRPr="00875208">
        <w:rPr>
          <w:sz w:val="24"/>
          <w:szCs w:val="24"/>
        </w:rPr>
        <w:t xml:space="preserve">uthority to impose </w:t>
      </w:r>
      <w:r w:rsidR="00CE18C9" w:rsidRPr="00875208">
        <w:rPr>
          <w:sz w:val="24"/>
          <w:szCs w:val="24"/>
        </w:rPr>
        <w:t xml:space="preserve">modifications or </w:t>
      </w:r>
      <w:r w:rsidRPr="00875208">
        <w:rPr>
          <w:sz w:val="24"/>
          <w:szCs w:val="24"/>
        </w:rPr>
        <w:t>reductions</w:t>
      </w:r>
      <w:r w:rsidR="00A52D95" w:rsidRPr="00875208">
        <w:rPr>
          <w:sz w:val="24"/>
          <w:szCs w:val="24"/>
        </w:rPr>
        <w:t xml:space="preserve"> to address such mistakes or inaccuracies</w:t>
      </w:r>
      <w:r w:rsidRPr="00875208">
        <w:rPr>
          <w:sz w:val="24"/>
          <w:szCs w:val="24"/>
        </w:rPr>
        <w:t>.</w:t>
      </w:r>
      <w:r w:rsidR="00957C0C">
        <w:rPr>
          <w:sz w:val="24"/>
          <w:szCs w:val="24"/>
        </w:rPr>
        <w:t xml:space="preserve"> </w:t>
      </w:r>
      <w:r w:rsidR="000B1032" w:rsidRPr="00875208">
        <w:rPr>
          <w:sz w:val="24"/>
          <w:szCs w:val="24"/>
        </w:rPr>
        <w:t xml:space="preserve">It is not possible to increase </w:t>
      </w:r>
      <w:r w:rsidR="00CE18C9" w:rsidRPr="00875208">
        <w:rPr>
          <w:sz w:val="24"/>
          <w:szCs w:val="24"/>
        </w:rPr>
        <w:t xml:space="preserve">the </w:t>
      </w:r>
      <w:r w:rsidR="001870D3" w:rsidRPr="00875208">
        <w:rPr>
          <w:sz w:val="24"/>
          <w:szCs w:val="24"/>
        </w:rPr>
        <w:t xml:space="preserve">grant </w:t>
      </w:r>
      <w:r w:rsidR="000B1032" w:rsidRPr="00875208">
        <w:rPr>
          <w:sz w:val="24"/>
          <w:szCs w:val="24"/>
        </w:rPr>
        <w:t xml:space="preserve">or </w:t>
      </w:r>
      <w:r w:rsidR="00F278A6" w:rsidRPr="00875208">
        <w:rPr>
          <w:sz w:val="24"/>
          <w:szCs w:val="24"/>
        </w:rPr>
        <w:t xml:space="preserve">the percentage of </w:t>
      </w:r>
      <w:r w:rsidR="006B5799" w:rsidRPr="00875208">
        <w:rPr>
          <w:sz w:val="24"/>
          <w:szCs w:val="24"/>
        </w:rPr>
        <w:t xml:space="preserve">EU </w:t>
      </w:r>
      <w:r w:rsidR="00F278A6" w:rsidRPr="00875208">
        <w:rPr>
          <w:sz w:val="24"/>
          <w:szCs w:val="24"/>
        </w:rPr>
        <w:t>co-financing as a result of these corrections</w:t>
      </w:r>
      <w:r w:rsidR="00FB2666" w:rsidRPr="00875208">
        <w:rPr>
          <w:sz w:val="24"/>
          <w:szCs w:val="24"/>
        </w:rPr>
        <w:t>.</w:t>
      </w:r>
    </w:p>
    <w:p w:rsidR="0007408E" w:rsidRPr="00875208" w:rsidRDefault="0007408E" w:rsidP="0068216F">
      <w:pPr>
        <w:rPr>
          <w:sz w:val="24"/>
          <w:szCs w:val="24"/>
        </w:rPr>
      </w:pPr>
      <w:r w:rsidRPr="00875208">
        <w:rPr>
          <w:sz w:val="24"/>
          <w:szCs w:val="24"/>
        </w:rPr>
        <w:t>It is therefore in the applicant</w:t>
      </w:r>
      <w:r w:rsidR="00A016F9" w:rsidRPr="00875208">
        <w:rPr>
          <w:sz w:val="24"/>
          <w:szCs w:val="24"/>
        </w:rPr>
        <w:t>’</w:t>
      </w:r>
      <w:r w:rsidRPr="00875208">
        <w:rPr>
          <w:sz w:val="24"/>
          <w:szCs w:val="24"/>
        </w:rPr>
        <w:t xml:space="preserve">s interest to provide a </w:t>
      </w:r>
      <w:r w:rsidRPr="00875208">
        <w:rPr>
          <w:b/>
          <w:sz w:val="24"/>
          <w:szCs w:val="24"/>
        </w:rPr>
        <w:t>realistic and cost-effective budget</w:t>
      </w:r>
      <w:r w:rsidRPr="00875208">
        <w:rPr>
          <w:sz w:val="24"/>
          <w:szCs w:val="24"/>
        </w:rPr>
        <w:t>.</w:t>
      </w:r>
    </w:p>
    <w:p w:rsidR="0007408E" w:rsidRPr="00875208" w:rsidRDefault="0007408E" w:rsidP="0068216F">
      <w:pPr>
        <w:rPr>
          <w:sz w:val="24"/>
          <w:szCs w:val="24"/>
          <w:u w:val="single"/>
        </w:rPr>
      </w:pPr>
      <w:r w:rsidRPr="00875208">
        <w:rPr>
          <w:sz w:val="24"/>
          <w:szCs w:val="24"/>
          <w:u w:val="single"/>
        </w:rPr>
        <w:t>Eligible direct costs</w:t>
      </w:r>
    </w:p>
    <w:p w:rsidR="006A618C" w:rsidRPr="00875208" w:rsidRDefault="0007408E" w:rsidP="0068216F">
      <w:pPr>
        <w:rPr>
          <w:sz w:val="24"/>
          <w:szCs w:val="24"/>
        </w:rPr>
      </w:pPr>
      <w:r w:rsidRPr="00875208">
        <w:rPr>
          <w:sz w:val="24"/>
          <w:szCs w:val="24"/>
        </w:rPr>
        <w:t xml:space="preserve">To be eligible under the </w:t>
      </w:r>
      <w:r w:rsidR="00FB2666" w:rsidRPr="00875208">
        <w:rPr>
          <w:sz w:val="24"/>
          <w:szCs w:val="24"/>
        </w:rPr>
        <w:t>C</w:t>
      </w:r>
      <w:r w:rsidRPr="00875208">
        <w:rPr>
          <w:sz w:val="24"/>
          <w:szCs w:val="24"/>
        </w:rPr>
        <w:t xml:space="preserve">all for </w:t>
      </w:r>
      <w:r w:rsidR="00FB2666" w:rsidRPr="00875208">
        <w:rPr>
          <w:sz w:val="24"/>
          <w:szCs w:val="24"/>
        </w:rPr>
        <w:t>P</w:t>
      </w:r>
      <w:r w:rsidRPr="00875208">
        <w:rPr>
          <w:sz w:val="24"/>
          <w:szCs w:val="24"/>
        </w:rPr>
        <w:t>roposals, costs must</w:t>
      </w:r>
      <w:r w:rsidR="00957C0C">
        <w:rPr>
          <w:sz w:val="24"/>
          <w:szCs w:val="24"/>
        </w:rPr>
        <w:t xml:space="preserve"> </w:t>
      </w:r>
      <w:r w:rsidR="00FB2666" w:rsidRPr="00875208">
        <w:rPr>
          <w:sz w:val="24"/>
          <w:szCs w:val="24"/>
        </w:rPr>
        <w:t xml:space="preserve">comply with </w:t>
      </w:r>
      <w:r w:rsidR="001870D3" w:rsidRPr="00875208">
        <w:rPr>
          <w:sz w:val="24"/>
          <w:szCs w:val="24"/>
        </w:rPr>
        <w:t xml:space="preserve">the provisions of </w:t>
      </w:r>
      <w:r w:rsidR="001D0C7B" w:rsidRPr="00875208">
        <w:rPr>
          <w:sz w:val="24"/>
          <w:szCs w:val="24"/>
        </w:rPr>
        <w:t xml:space="preserve">Article </w:t>
      </w:r>
      <w:r w:rsidR="001870D3" w:rsidRPr="00875208">
        <w:rPr>
          <w:sz w:val="24"/>
          <w:szCs w:val="24"/>
        </w:rPr>
        <w:t xml:space="preserve">14 of the General Conditions to the Standard Grant Contract </w:t>
      </w:r>
      <w:r w:rsidR="00F06CB4" w:rsidRPr="00875208">
        <w:rPr>
          <w:sz w:val="24"/>
          <w:szCs w:val="24"/>
        </w:rPr>
        <w:t>(see Annex G</w:t>
      </w:r>
      <w:r w:rsidR="004A51E9" w:rsidRPr="00875208">
        <w:rPr>
          <w:sz w:val="24"/>
          <w:szCs w:val="24"/>
        </w:rPr>
        <w:t xml:space="preserve"> of the Guidelines</w:t>
      </w:r>
      <w:r w:rsidR="00CE18C9" w:rsidRPr="00875208">
        <w:rPr>
          <w:sz w:val="24"/>
          <w:szCs w:val="24"/>
        </w:rPr>
        <w:t>).</w:t>
      </w:r>
    </w:p>
    <w:p w:rsidR="00BC38E0" w:rsidRPr="00875208" w:rsidRDefault="00B749B7" w:rsidP="00957C0C">
      <w:pPr>
        <w:pBdr>
          <w:top w:val="single" w:sz="4" w:space="1" w:color="auto"/>
          <w:left w:val="single" w:sz="4" w:space="4" w:color="auto"/>
          <w:bottom w:val="single" w:sz="4" w:space="0" w:color="auto"/>
          <w:right w:val="single" w:sz="4" w:space="4" w:color="auto"/>
        </w:pBdr>
        <w:rPr>
          <w:b/>
          <w:sz w:val="24"/>
          <w:szCs w:val="24"/>
        </w:rPr>
      </w:pPr>
      <w:r>
        <w:rPr>
          <w:b/>
          <w:sz w:val="24"/>
          <w:szCs w:val="24"/>
        </w:rPr>
        <w:t>NOTE</w:t>
      </w:r>
      <w:r w:rsidR="0051688F" w:rsidRPr="00875208">
        <w:rPr>
          <w:b/>
          <w:sz w:val="24"/>
          <w:szCs w:val="24"/>
        </w:rPr>
        <w:t>:</w:t>
      </w:r>
    </w:p>
    <w:p w:rsidR="0051688F" w:rsidRPr="00875208" w:rsidRDefault="0051688F" w:rsidP="00957C0C">
      <w:pPr>
        <w:pBdr>
          <w:top w:val="single" w:sz="4" w:space="1" w:color="auto"/>
          <w:left w:val="single" w:sz="4" w:space="4" w:color="auto"/>
          <w:bottom w:val="single" w:sz="4" w:space="0" w:color="auto"/>
          <w:right w:val="single" w:sz="4" w:space="4" w:color="auto"/>
        </w:pBdr>
        <w:rPr>
          <w:i/>
          <w:sz w:val="24"/>
          <w:szCs w:val="24"/>
        </w:rPr>
      </w:pPr>
      <w:r w:rsidRPr="00875208">
        <w:rPr>
          <w:i/>
          <w:sz w:val="24"/>
          <w:szCs w:val="24"/>
        </w:rPr>
        <w:t xml:space="preserve">Civil servants or other public employees of central and local administrations which participate under this Call for </w:t>
      </w:r>
      <w:r w:rsidR="00B749B7" w:rsidRPr="00875208">
        <w:rPr>
          <w:i/>
          <w:sz w:val="24"/>
          <w:szCs w:val="24"/>
        </w:rPr>
        <w:t>Proposals</w:t>
      </w:r>
      <w:r w:rsidRPr="00875208">
        <w:rPr>
          <w:i/>
          <w:sz w:val="24"/>
          <w:szCs w:val="24"/>
        </w:rPr>
        <w:t xml:space="preserve"> may not receive fees for their contribution to the action other than their salaries in the respective institution. </w:t>
      </w:r>
    </w:p>
    <w:p w:rsidR="0051688F" w:rsidRPr="00875208" w:rsidRDefault="0051688F" w:rsidP="00957C0C">
      <w:pPr>
        <w:pBdr>
          <w:top w:val="single" w:sz="4" w:space="1" w:color="auto"/>
          <w:left w:val="single" w:sz="4" w:space="4" w:color="auto"/>
          <w:bottom w:val="single" w:sz="4" w:space="0" w:color="auto"/>
          <w:right w:val="single" w:sz="4" w:space="4" w:color="auto"/>
        </w:pBdr>
        <w:rPr>
          <w:i/>
          <w:sz w:val="24"/>
          <w:szCs w:val="24"/>
        </w:rPr>
      </w:pPr>
      <w:r w:rsidRPr="00875208">
        <w:rPr>
          <w:i/>
          <w:sz w:val="24"/>
          <w:szCs w:val="24"/>
        </w:rPr>
        <w:t>The salaries of the civil servants or other public employees of the central and local administrations may be presented as co-financing contribution of the applicant only with the prior approva</w:t>
      </w:r>
      <w:r w:rsidR="00D05CB8" w:rsidRPr="00875208">
        <w:rPr>
          <w:i/>
          <w:sz w:val="24"/>
          <w:szCs w:val="24"/>
        </w:rPr>
        <w:t>l of the Contracting Authorit</w:t>
      </w:r>
      <w:r w:rsidRPr="00875208">
        <w:rPr>
          <w:i/>
          <w:sz w:val="24"/>
          <w:szCs w:val="24"/>
        </w:rPr>
        <w:t>y during contracting stage</w:t>
      </w:r>
      <w:r w:rsidR="006A618C">
        <w:rPr>
          <w:i/>
          <w:sz w:val="24"/>
          <w:szCs w:val="24"/>
        </w:rPr>
        <w:t>.</w:t>
      </w:r>
    </w:p>
    <w:p w:rsidR="007034C6" w:rsidRPr="00875208" w:rsidRDefault="007034C6" w:rsidP="0068216F">
      <w:pPr>
        <w:rPr>
          <w:sz w:val="24"/>
          <w:szCs w:val="24"/>
          <w:u w:val="single"/>
        </w:rPr>
      </w:pPr>
      <w:r w:rsidRPr="00875208">
        <w:rPr>
          <w:sz w:val="24"/>
          <w:szCs w:val="24"/>
          <w:u w:val="single"/>
        </w:rPr>
        <w:t>Contingency reserve</w:t>
      </w:r>
    </w:p>
    <w:p w:rsidR="003048CC" w:rsidRPr="00466B53" w:rsidRDefault="000B1032" w:rsidP="0068216F">
      <w:pPr>
        <w:rPr>
          <w:sz w:val="24"/>
          <w:szCs w:val="24"/>
        </w:rPr>
      </w:pPr>
      <w:r w:rsidRPr="00875208">
        <w:rPr>
          <w:sz w:val="24"/>
          <w:szCs w:val="24"/>
        </w:rPr>
        <w:t xml:space="preserve">The </w:t>
      </w:r>
      <w:r w:rsidR="00CF5740" w:rsidRPr="00875208">
        <w:rPr>
          <w:sz w:val="24"/>
          <w:szCs w:val="24"/>
        </w:rPr>
        <w:t>b</w:t>
      </w:r>
      <w:r w:rsidRPr="00875208">
        <w:rPr>
          <w:sz w:val="24"/>
          <w:szCs w:val="24"/>
        </w:rPr>
        <w:t>udget may include a</w:t>
      </w:r>
      <w:r w:rsidR="007034C6" w:rsidRPr="00875208">
        <w:rPr>
          <w:sz w:val="24"/>
          <w:szCs w:val="24"/>
        </w:rPr>
        <w:t xml:space="preserve"> contingency reserve not exceeding 5</w:t>
      </w:r>
      <w:r w:rsidR="00A016F9" w:rsidRPr="00875208">
        <w:rPr>
          <w:w w:val="50"/>
          <w:sz w:val="24"/>
          <w:szCs w:val="24"/>
        </w:rPr>
        <w:t> </w:t>
      </w:r>
      <w:r w:rsidR="007034C6" w:rsidRPr="00875208">
        <w:rPr>
          <w:sz w:val="24"/>
          <w:szCs w:val="24"/>
        </w:rPr>
        <w:t>% of the</w:t>
      </w:r>
      <w:r w:rsidR="00584247" w:rsidRPr="00875208">
        <w:rPr>
          <w:sz w:val="24"/>
          <w:szCs w:val="24"/>
        </w:rPr>
        <w:t xml:space="preserve"> estimated</w:t>
      </w:r>
      <w:r w:rsidR="007034C6" w:rsidRPr="00875208">
        <w:rPr>
          <w:sz w:val="24"/>
          <w:szCs w:val="24"/>
        </w:rPr>
        <w:t xml:space="preserve"> direct eligible costs. It can only be used with the </w:t>
      </w:r>
      <w:r w:rsidR="007034C6" w:rsidRPr="00875208">
        <w:rPr>
          <w:b/>
          <w:sz w:val="24"/>
          <w:szCs w:val="24"/>
        </w:rPr>
        <w:t>prior written</w:t>
      </w:r>
      <w:r w:rsidR="00957C0C">
        <w:rPr>
          <w:b/>
          <w:sz w:val="24"/>
          <w:szCs w:val="24"/>
        </w:rPr>
        <w:t xml:space="preserve"> </w:t>
      </w:r>
      <w:r w:rsidR="007034C6" w:rsidRPr="00875208">
        <w:rPr>
          <w:b/>
          <w:sz w:val="24"/>
          <w:szCs w:val="24"/>
        </w:rPr>
        <w:t>authorisation</w:t>
      </w:r>
      <w:r w:rsidR="007034C6" w:rsidRPr="00875208">
        <w:rPr>
          <w:sz w:val="24"/>
          <w:szCs w:val="24"/>
        </w:rPr>
        <w:t xml:space="preserve"> of the Contracting Authority.</w:t>
      </w:r>
    </w:p>
    <w:p w:rsidR="0007408E" w:rsidRPr="00875208" w:rsidRDefault="0007408E" w:rsidP="0068216F">
      <w:pPr>
        <w:rPr>
          <w:sz w:val="24"/>
          <w:szCs w:val="24"/>
          <w:u w:val="single"/>
        </w:rPr>
      </w:pPr>
      <w:r w:rsidRPr="00875208">
        <w:rPr>
          <w:sz w:val="24"/>
          <w:szCs w:val="24"/>
          <w:u w:val="single"/>
        </w:rPr>
        <w:t>Eligible indirect costs</w:t>
      </w:r>
    </w:p>
    <w:p w:rsidR="00460729" w:rsidRPr="00875208" w:rsidRDefault="00460729" w:rsidP="0068216F">
      <w:pPr>
        <w:rPr>
          <w:snapToGrid/>
          <w:sz w:val="24"/>
          <w:szCs w:val="24"/>
          <w:lang w:eastAsia="en-GB" w:bidi="kn-IN"/>
        </w:rPr>
      </w:pPr>
      <w:r w:rsidRPr="00875208">
        <w:rPr>
          <w:snapToGrid/>
          <w:sz w:val="24"/>
          <w:szCs w:val="24"/>
          <w:lang w:eastAsia="en-GB" w:bidi="kn-IN"/>
        </w:rPr>
        <w:t>The indirect costs incurred in carrying out the action may be eligible for flat-rate funding</w:t>
      </w:r>
      <w:r w:rsidR="00466510" w:rsidRPr="00875208">
        <w:rPr>
          <w:snapToGrid/>
          <w:sz w:val="24"/>
          <w:szCs w:val="24"/>
          <w:lang w:eastAsia="en-GB" w:bidi="kn-IN"/>
        </w:rPr>
        <w:t>,</w:t>
      </w:r>
      <w:r w:rsidR="00515B5A">
        <w:rPr>
          <w:snapToGrid/>
          <w:sz w:val="24"/>
          <w:szCs w:val="24"/>
          <w:lang w:eastAsia="en-GB" w:bidi="kn-IN"/>
        </w:rPr>
        <w:t xml:space="preserve"> </w:t>
      </w:r>
      <w:r w:rsidR="00B1674B" w:rsidRPr="00875208">
        <w:rPr>
          <w:snapToGrid/>
          <w:sz w:val="24"/>
          <w:szCs w:val="24"/>
          <w:lang w:eastAsia="en-GB" w:bidi="kn-IN"/>
        </w:rPr>
        <w:t>but the total must not exceed</w:t>
      </w:r>
      <w:r w:rsidRPr="00875208">
        <w:rPr>
          <w:snapToGrid/>
          <w:sz w:val="24"/>
          <w:szCs w:val="24"/>
          <w:lang w:eastAsia="en-GB" w:bidi="kn-IN"/>
        </w:rPr>
        <w:t xml:space="preserve"> 7</w:t>
      </w:r>
      <w:r w:rsidR="00A016F9" w:rsidRPr="00875208">
        <w:rPr>
          <w:snapToGrid/>
          <w:w w:val="50"/>
          <w:sz w:val="24"/>
          <w:szCs w:val="24"/>
          <w:lang w:eastAsia="en-GB" w:bidi="kn-IN"/>
        </w:rPr>
        <w:t> </w:t>
      </w:r>
      <w:r w:rsidRPr="00875208">
        <w:rPr>
          <w:snapToGrid/>
          <w:sz w:val="24"/>
          <w:szCs w:val="24"/>
          <w:lang w:eastAsia="en-GB" w:bidi="kn-IN"/>
        </w:rPr>
        <w:t xml:space="preserve">%of the </w:t>
      </w:r>
      <w:r w:rsidR="00584247" w:rsidRPr="00875208">
        <w:rPr>
          <w:snapToGrid/>
          <w:sz w:val="24"/>
          <w:szCs w:val="24"/>
          <w:lang w:eastAsia="en-GB" w:bidi="kn-IN"/>
        </w:rPr>
        <w:t xml:space="preserve">estimated </w:t>
      </w:r>
      <w:r w:rsidRPr="00875208">
        <w:rPr>
          <w:snapToGrid/>
          <w:sz w:val="24"/>
          <w:szCs w:val="24"/>
          <w:lang w:eastAsia="en-GB" w:bidi="kn-IN"/>
        </w:rPr>
        <w:t>total eligible direct costs.</w:t>
      </w:r>
      <w:r w:rsidR="00E2380E" w:rsidRPr="00875208">
        <w:rPr>
          <w:snapToGrid/>
          <w:sz w:val="24"/>
          <w:szCs w:val="24"/>
          <w:lang w:eastAsia="en-GB" w:bidi="kn-IN"/>
        </w:rPr>
        <w:t xml:space="preserve"> Indirect costs are eligible provided that they do not include costs assigned to another</w:t>
      </w:r>
      <w:r w:rsidR="00B1674B" w:rsidRPr="00875208">
        <w:rPr>
          <w:snapToGrid/>
          <w:sz w:val="24"/>
          <w:szCs w:val="24"/>
          <w:lang w:eastAsia="en-GB" w:bidi="kn-IN"/>
        </w:rPr>
        <w:t xml:space="preserve"> budget</w:t>
      </w:r>
      <w:r w:rsidR="00E2380E" w:rsidRPr="00875208">
        <w:rPr>
          <w:snapToGrid/>
          <w:sz w:val="24"/>
          <w:szCs w:val="24"/>
          <w:lang w:eastAsia="en-GB" w:bidi="kn-IN"/>
        </w:rPr>
        <w:t xml:space="preserve"> heading </w:t>
      </w:r>
      <w:r w:rsidR="00B1674B" w:rsidRPr="00875208">
        <w:rPr>
          <w:snapToGrid/>
          <w:sz w:val="24"/>
          <w:szCs w:val="24"/>
          <w:lang w:eastAsia="en-GB" w:bidi="kn-IN"/>
        </w:rPr>
        <w:t>in</w:t>
      </w:r>
      <w:r w:rsidR="00450369" w:rsidRPr="00875208">
        <w:rPr>
          <w:snapToGrid/>
          <w:sz w:val="24"/>
          <w:szCs w:val="24"/>
          <w:lang w:eastAsia="en-GB" w:bidi="kn-IN"/>
        </w:rPr>
        <w:t xml:space="preserve"> the standard grant c</w:t>
      </w:r>
      <w:r w:rsidR="00E2380E" w:rsidRPr="00875208">
        <w:rPr>
          <w:snapToGrid/>
          <w:sz w:val="24"/>
          <w:szCs w:val="24"/>
          <w:lang w:eastAsia="en-GB" w:bidi="kn-IN"/>
        </w:rPr>
        <w:t xml:space="preserve">ontract. The applicant may be asked to justify the percentage </w:t>
      </w:r>
      <w:r w:rsidR="00B1674B" w:rsidRPr="00875208">
        <w:rPr>
          <w:snapToGrid/>
          <w:sz w:val="24"/>
          <w:szCs w:val="24"/>
          <w:lang w:eastAsia="en-GB" w:bidi="kn-IN"/>
        </w:rPr>
        <w:t xml:space="preserve">requested </w:t>
      </w:r>
      <w:r w:rsidR="00E2380E" w:rsidRPr="00875208">
        <w:rPr>
          <w:snapToGrid/>
          <w:sz w:val="24"/>
          <w:szCs w:val="24"/>
          <w:lang w:eastAsia="en-GB" w:bidi="kn-IN"/>
        </w:rPr>
        <w:t xml:space="preserve">before </w:t>
      </w:r>
      <w:r w:rsidR="00B1674B" w:rsidRPr="00875208">
        <w:rPr>
          <w:snapToGrid/>
          <w:sz w:val="24"/>
          <w:szCs w:val="24"/>
          <w:lang w:eastAsia="en-GB" w:bidi="kn-IN"/>
        </w:rPr>
        <w:t xml:space="preserve">the </w:t>
      </w:r>
      <w:r w:rsidR="00E2380E" w:rsidRPr="00875208">
        <w:rPr>
          <w:snapToGrid/>
          <w:sz w:val="24"/>
          <w:szCs w:val="24"/>
          <w:lang w:eastAsia="en-GB" w:bidi="kn-IN"/>
        </w:rPr>
        <w:t>contract</w:t>
      </w:r>
      <w:r w:rsidR="00B1674B" w:rsidRPr="00875208">
        <w:rPr>
          <w:snapToGrid/>
          <w:sz w:val="24"/>
          <w:szCs w:val="24"/>
          <w:lang w:eastAsia="en-GB" w:bidi="kn-IN"/>
        </w:rPr>
        <w:t xml:space="preserve"> is signed</w:t>
      </w:r>
      <w:r w:rsidR="00E2380E" w:rsidRPr="00875208">
        <w:rPr>
          <w:snapToGrid/>
          <w:sz w:val="24"/>
          <w:szCs w:val="24"/>
          <w:lang w:eastAsia="en-GB" w:bidi="kn-IN"/>
        </w:rPr>
        <w:t>. However, once the flat</w:t>
      </w:r>
      <w:r w:rsidR="00515B5A">
        <w:rPr>
          <w:snapToGrid/>
          <w:sz w:val="24"/>
          <w:szCs w:val="24"/>
          <w:lang w:eastAsia="en-GB" w:bidi="kn-IN"/>
        </w:rPr>
        <w:t xml:space="preserve"> </w:t>
      </w:r>
      <w:r w:rsidR="00E2380E" w:rsidRPr="00875208">
        <w:rPr>
          <w:snapToGrid/>
          <w:sz w:val="24"/>
          <w:szCs w:val="24"/>
          <w:lang w:eastAsia="en-GB" w:bidi="kn-IN"/>
        </w:rPr>
        <w:t>rate has been fixed in the</w:t>
      </w:r>
      <w:r w:rsidR="00515B5A">
        <w:rPr>
          <w:snapToGrid/>
          <w:sz w:val="24"/>
          <w:szCs w:val="24"/>
          <w:lang w:eastAsia="en-GB" w:bidi="kn-IN"/>
        </w:rPr>
        <w:t xml:space="preserve"> </w:t>
      </w:r>
      <w:r w:rsidR="00BC363D" w:rsidRPr="00875208">
        <w:rPr>
          <w:snapToGrid/>
          <w:sz w:val="24"/>
          <w:szCs w:val="24"/>
          <w:lang w:eastAsia="en-GB" w:bidi="kn-IN"/>
        </w:rPr>
        <w:t>s</w:t>
      </w:r>
      <w:r w:rsidR="00450369" w:rsidRPr="00875208">
        <w:rPr>
          <w:snapToGrid/>
          <w:sz w:val="24"/>
          <w:szCs w:val="24"/>
          <w:lang w:eastAsia="en-GB" w:bidi="kn-IN"/>
        </w:rPr>
        <w:t xml:space="preserve">pecial </w:t>
      </w:r>
      <w:r w:rsidR="00BC363D" w:rsidRPr="00875208">
        <w:rPr>
          <w:snapToGrid/>
          <w:sz w:val="24"/>
          <w:szCs w:val="24"/>
          <w:lang w:eastAsia="en-GB" w:bidi="kn-IN"/>
        </w:rPr>
        <w:t>c</w:t>
      </w:r>
      <w:r w:rsidR="00450369" w:rsidRPr="00875208">
        <w:rPr>
          <w:snapToGrid/>
          <w:sz w:val="24"/>
          <w:szCs w:val="24"/>
          <w:lang w:eastAsia="en-GB" w:bidi="kn-IN"/>
        </w:rPr>
        <w:t>onditions of the standard grant</w:t>
      </w:r>
      <w:r w:rsidR="00E2380E" w:rsidRPr="00875208">
        <w:rPr>
          <w:snapToGrid/>
          <w:sz w:val="24"/>
          <w:szCs w:val="24"/>
          <w:lang w:eastAsia="en-GB" w:bidi="kn-IN"/>
        </w:rPr>
        <w:t xml:space="preserve"> contract, no supporting documents need to be provided.</w:t>
      </w:r>
    </w:p>
    <w:p w:rsidR="00460729" w:rsidRPr="00875208" w:rsidRDefault="00460729" w:rsidP="0068216F">
      <w:pPr>
        <w:rPr>
          <w:snapToGrid/>
          <w:sz w:val="24"/>
          <w:szCs w:val="24"/>
          <w:lang w:eastAsia="en-GB" w:bidi="kn-IN"/>
        </w:rPr>
      </w:pPr>
      <w:r w:rsidRPr="00875208">
        <w:rPr>
          <w:snapToGrid/>
          <w:sz w:val="24"/>
          <w:szCs w:val="24"/>
          <w:lang w:eastAsia="en-GB" w:bidi="kn-IN"/>
        </w:rPr>
        <w:t xml:space="preserve">If </w:t>
      </w:r>
      <w:r w:rsidR="00A703F1" w:rsidRPr="00875208">
        <w:rPr>
          <w:snapToGrid/>
          <w:sz w:val="24"/>
          <w:szCs w:val="24"/>
          <w:lang w:eastAsia="en-GB" w:bidi="kn-IN"/>
        </w:rPr>
        <w:t>any of the</w:t>
      </w:r>
      <w:r w:rsidR="00515B5A">
        <w:rPr>
          <w:snapToGrid/>
          <w:sz w:val="24"/>
          <w:szCs w:val="24"/>
          <w:lang w:eastAsia="en-GB" w:bidi="kn-IN"/>
        </w:rPr>
        <w:t xml:space="preserve"> </w:t>
      </w:r>
      <w:r w:rsidRPr="00875208">
        <w:rPr>
          <w:snapToGrid/>
          <w:sz w:val="24"/>
          <w:szCs w:val="24"/>
          <w:lang w:eastAsia="en-GB" w:bidi="kn-IN"/>
        </w:rPr>
        <w:t>applicant</w:t>
      </w:r>
      <w:r w:rsidR="00A703F1" w:rsidRPr="00875208">
        <w:rPr>
          <w:snapToGrid/>
          <w:sz w:val="24"/>
          <w:szCs w:val="24"/>
          <w:lang w:eastAsia="en-GB" w:bidi="kn-IN"/>
        </w:rPr>
        <w:t>s</w:t>
      </w:r>
      <w:r w:rsidR="00515B5A">
        <w:rPr>
          <w:snapToGrid/>
          <w:sz w:val="24"/>
          <w:szCs w:val="24"/>
          <w:lang w:eastAsia="en-GB" w:bidi="kn-IN"/>
        </w:rPr>
        <w:t xml:space="preserve"> </w:t>
      </w:r>
      <w:r w:rsidR="00A703F1" w:rsidRPr="00875208">
        <w:rPr>
          <w:snapToGrid/>
          <w:sz w:val="24"/>
          <w:szCs w:val="24"/>
          <w:lang w:eastAsia="en-GB" w:bidi="kn-IN"/>
        </w:rPr>
        <w:t xml:space="preserve">or affiliated entity(ies) </w:t>
      </w:r>
      <w:r w:rsidRPr="00875208">
        <w:rPr>
          <w:snapToGrid/>
          <w:sz w:val="24"/>
          <w:szCs w:val="24"/>
          <w:lang w:eastAsia="en-GB" w:bidi="kn-IN"/>
        </w:rPr>
        <w:t xml:space="preserve">is in receipt of an operating grant financed </w:t>
      </w:r>
      <w:r w:rsidR="00705C17" w:rsidRPr="00875208">
        <w:rPr>
          <w:snapToGrid/>
          <w:sz w:val="24"/>
          <w:szCs w:val="24"/>
          <w:lang w:eastAsia="en-GB" w:bidi="kn-IN"/>
        </w:rPr>
        <w:t xml:space="preserve">by </w:t>
      </w:r>
      <w:r w:rsidRPr="00875208">
        <w:rPr>
          <w:snapToGrid/>
          <w:sz w:val="24"/>
          <w:szCs w:val="24"/>
          <w:lang w:eastAsia="en-GB" w:bidi="kn-IN"/>
        </w:rPr>
        <w:t xml:space="preserve">the </w:t>
      </w:r>
      <w:r w:rsidR="00D65E10" w:rsidRPr="00875208">
        <w:rPr>
          <w:snapToGrid/>
          <w:sz w:val="24"/>
          <w:szCs w:val="24"/>
          <w:lang w:eastAsia="en-GB" w:bidi="kn-IN"/>
        </w:rPr>
        <w:t>EU</w:t>
      </w:r>
      <w:r w:rsidR="00601848" w:rsidRPr="00875208">
        <w:rPr>
          <w:snapToGrid/>
          <w:sz w:val="24"/>
          <w:szCs w:val="24"/>
          <w:lang w:eastAsia="en-GB" w:bidi="kn-IN"/>
        </w:rPr>
        <w:t xml:space="preserve">, </w:t>
      </w:r>
      <w:r w:rsidR="00705C17" w:rsidRPr="00875208">
        <w:rPr>
          <w:snapToGrid/>
          <w:sz w:val="24"/>
          <w:szCs w:val="24"/>
          <w:lang w:eastAsia="en-GB" w:bidi="kn-IN"/>
        </w:rPr>
        <w:t>it may not claim</w:t>
      </w:r>
      <w:r w:rsidRPr="00875208">
        <w:rPr>
          <w:snapToGrid/>
          <w:sz w:val="24"/>
          <w:szCs w:val="24"/>
          <w:lang w:eastAsia="en-GB" w:bidi="kn-IN"/>
        </w:rPr>
        <w:t xml:space="preserve"> indirect costs</w:t>
      </w:r>
      <w:r w:rsidR="00705C17" w:rsidRPr="00875208">
        <w:rPr>
          <w:snapToGrid/>
          <w:sz w:val="24"/>
          <w:szCs w:val="24"/>
          <w:lang w:eastAsia="en-GB" w:bidi="kn-IN"/>
        </w:rPr>
        <w:t xml:space="preserve"> on its incurred costs </w:t>
      </w:r>
      <w:r w:rsidRPr="00875208">
        <w:rPr>
          <w:snapToGrid/>
          <w:sz w:val="24"/>
          <w:szCs w:val="24"/>
          <w:lang w:eastAsia="en-GB" w:bidi="kn-IN"/>
        </w:rPr>
        <w:t>within the proposed budget for the action.</w:t>
      </w:r>
    </w:p>
    <w:p w:rsidR="00165C22" w:rsidRPr="00875208" w:rsidRDefault="0007408E" w:rsidP="0068216F">
      <w:pPr>
        <w:rPr>
          <w:sz w:val="24"/>
          <w:szCs w:val="24"/>
          <w:u w:val="single"/>
        </w:rPr>
      </w:pPr>
      <w:r w:rsidRPr="00875208">
        <w:rPr>
          <w:sz w:val="24"/>
          <w:szCs w:val="24"/>
          <w:u w:val="single"/>
        </w:rPr>
        <w:t>Contributions in kind</w:t>
      </w:r>
    </w:p>
    <w:p w:rsidR="009038D7" w:rsidRPr="00875208" w:rsidRDefault="008A62F6" w:rsidP="0068216F">
      <w:pPr>
        <w:rPr>
          <w:sz w:val="24"/>
          <w:szCs w:val="24"/>
        </w:rPr>
      </w:pPr>
      <w:r w:rsidRPr="00875208">
        <w:rPr>
          <w:sz w:val="24"/>
          <w:szCs w:val="24"/>
        </w:rPr>
        <w:t xml:space="preserve">Contributions in kind mean the provision of goods or services to </w:t>
      </w:r>
      <w:r w:rsidR="00A703F1" w:rsidRPr="00875208">
        <w:rPr>
          <w:sz w:val="24"/>
          <w:szCs w:val="24"/>
        </w:rPr>
        <w:t>a</w:t>
      </w:r>
      <w:r w:rsidRPr="00875208">
        <w:rPr>
          <w:sz w:val="24"/>
          <w:szCs w:val="24"/>
        </w:rPr>
        <w:t xml:space="preserve"> Beneficiary</w:t>
      </w:r>
      <w:r w:rsidR="00101AEE" w:rsidRPr="00875208">
        <w:rPr>
          <w:sz w:val="24"/>
          <w:szCs w:val="24"/>
        </w:rPr>
        <w:t>(ies)</w:t>
      </w:r>
      <w:r w:rsidR="00A703F1" w:rsidRPr="00875208">
        <w:rPr>
          <w:sz w:val="24"/>
          <w:szCs w:val="24"/>
        </w:rPr>
        <w:t xml:space="preserve"> or </w:t>
      </w:r>
      <w:r w:rsidR="00A703F1" w:rsidRPr="00875208">
        <w:rPr>
          <w:snapToGrid/>
          <w:sz w:val="24"/>
          <w:szCs w:val="24"/>
          <w:lang w:eastAsia="en-GB" w:bidi="kn-IN"/>
        </w:rPr>
        <w:t xml:space="preserve">affiliated entity(ies) </w:t>
      </w:r>
      <w:r w:rsidRPr="00875208">
        <w:rPr>
          <w:sz w:val="24"/>
          <w:szCs w:val="24"/>
        </w:rPr>
        <w:t xml:space="preserve"> free of charge by a third party. As contributions in kind do not involve any expenditure for </w:t>
      </w:r>
      <w:r w:rsidR="00A703F1" w:rsidRPr="00875208">
        <w:rPr>
          <w:sz w:val="24"/>
          <w:szCs w:val="24"/>
        </w:rPr>
        <w:t>a</w:t>
      </w:r>
      <w:r w:rsidR="004C101E">
        <w:rPr>
          <w:sz w:val="24"/>
          <w:szCs w:val="24"/>
        </w:rPr>
        <w:t xml:space="preserve"> </w:t>
      </w:r>
      <w:r w:rsidRPr="00875208">
        <w:rPr>
          <w:sz w:val="24"/>
          <w:szCs w:val="24"/>
        </w:rPr>
        <w:t>Beneficiary</w:t>
      </w:r>
      <w:r w:rsidR="00101AEE" w:rsidRPr="00875208">
        <w:rPr>
          <w:sz w:val="24"/>
          <w:szCs w:val="24"/>
        </w:rPr>
        <w:t>(ies)</w:t>
      </w:r>
      <w:r w:rsidR="00A703F1" w:rsidRPr="00875208">
        <w:rPr>
          <w:snapToGrid/>
          <w:sz w:val="24"/>
          <w:szCs w:val="24"/>
          <w:lang w:eastAsia="en-GB" w:bidi="kn-IN"/>
        </w:rPr>
        <w:t>or affiliated entity(ies)</w:t>
      </w:r>
      <w:r w:rsidRPr="00875208">
        <w:rPr>
          <w:sz w:val="24"/>
          <w:szCs w:val="24"/>
        </w:rPr>
        <w:t>, they are not eligible costs.</w:t>
      </w:r>
    </w:p>
    <w:p w:rsidR="005A489F" w:rsidRPr="00B749B7" w:rsidRDefault="009038D7" w:rsidP="0068216F">
      <w:pPr>
        <w:rPr>
          <w:sz w:val="24"/>
          <w:szCs w:val="24"/>
        </w:rPr>
      </w:pPr>
      <w:r w:rsidRPr="00875208">
        <w:rPr>
          <w:sz w:val="24"/>
          <w:szCs w:val="24"/>
        </w:rPr>
        <w:t>Contributions in kind may not be treated as co-financing.</w:t>
      </w:r>
    </w:p>
    <w:p w:rsidR="00511112" w:rsidRPr="00875208" w:rsidRDefault="00511112" w:rsidP="0068216F">
      <w:pPr>
        <w:rPr>
          <w:sz w:val="24"/>
          <w:szCs w:val="24"/>
          <w:u w:val="single"/>
        </w:rPr>
      </w:pPr>
      <w:r w:rsidRPr="00875208">
        <w:rPr>
          <w:sz w:val="24"/>
          <w:szCs w:val="24"/>
          <w:u w:val="single"/>
        </w:rPr>
        <w:t>Ineligible costs</w:t>
      </w:r>
    </w:p>
    <w:p w:rsidR="00511112" w:rsidRDefault="00511112" w:rsidP="0068216F">
      <w:pPr>
        <w:rPr>
          <w:sz w:val="24"/>
          <w:szCs w:val="24"/>
        </w:rPr>
      </w:pPr>
      <w:r w:rsidRPr="00875208">
        <w:rPr>
          <w:sz w:val="24"/>
          <w:szCs w:val="24"/>
        </w:rPr>
        <w:t>The following costs are not eligible:</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taxes, including value added taxes;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lastRenderedPageBreak/>
        <w:t>customs and import duties, or any other charges;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purchase, rent or leasing of land and existing buildings;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fines financial penalties and expenses of litigation;</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operating costs;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second-hand equipment;</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bank charges, costs of guarantees and similar charges;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conversion costs, charges and exchange losses associated with any of the component specific euro accounts, as well as other purely financial expenses;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contributions in kind;</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any leasing costs;</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depreciation costs;</w:t>
      </w:r>
    </w:p>
    <w:p w:rsidR="00736AD2" w:rsidRPr="008A0215" w:rsidRDefault="00736AD2" w:rsidP="00736AD2">
      <w:pPr>
        <w:spacing w:after="0"/>
        <w:ind w:left="1490"/>
        <w:contextualSpacing/>
        <w:rPr>
          <w:rFonts w:eastAsia="Calibri"/>
          <w:snapToGrid/>
          <w:sz w:val="24"/>
          <w:szCs w:val="24"/>
          <w:lang w:eastAsia="en-GB"/>
        </w:rPr>
      </w:pPr>
    </w:p>
    <w:p w:rsidR="00736AD2" w:rsidRPr="008A0215" w:rsidRDefault="004D0F40" w:rsidP="00736AD2">
      <w:pPr>
        <w:spacing w:after="0"/>
        <w:contextualSpacing/>
        <w:rPr>
          <w:rFonts w:eastAsia="Calibri"/>
          <w:snapToGrid/>
          <w:sz w:val="24"/>
          <w:szCs w:val="24"/>
          <w:lang w:eastAsia="en-GB"/>
        </w:rPr>
      </w:pPr>
      <w:r w:rsidRPr="008A0215">
        <w:rPr>
          <w:rFonts w:eastAsia="Calibri"/>
          <w:snapToGrid/>
          <w:sz w:val="24"/>
          <w:szCs w:val="24"/>
          <w:lang w:eastAsia="en-GB"/>
        </w:rPr>
        <w:t>“O</w:t>
      </w:r>
      <w:r w:rsidR="00736AD2" w:rsidRPr="008A0215">
        <w:rPr>
          <w:rFonts w:eastAsia="Calibri"/>
          <w:snapToGrid/>
          <w:sz w:val="24"/>
          <w:szCs w:val="24"/>
          <w:lang w:eastAsia="en-GB"/>
        </w:rPr>
        <w:t>n case by case basis” it can be decided that the following expenditure is eligible:</w:t>
      </w:r>
    </w:p>
    <w:p w:rsidR="00736AD2" w:rsidRPr="008A0215" w:rsidRDefault="00736AD2" w:rsidP="00736AD2">
      <w:pPr>
        <w:spacing w:after="0"/>
        <w:contextualSpacing/>
        <w:rPr>
          <w:rFonts w:eastAsia="Calibri"/>
          <w:snapToGrid/>
          <w:sz w:val="24"/>
          <w:szCs w:val="24"/>
          <w:lang w:eastAsia="en-GB"/>
        </w:rPr>
      </w:pPr>
    </w:p>
    <w:p w:rsidR="00D30900" w:rsidRPr="008A0215" w:rsidRDefault="002D54CA"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operating costs, including rental costs, exclusively related to</w:t>
      </w:r>
      <w:r w:rsidR="00736AD2" w:rsidRPr="008A0215">
        <w:rPr>
          <w:rFonts w:eastAsia="Calibri"/>
          <w:snapToGrid/>
          <w:sz w:val="24"/>
          <w:szCs w:val="24"/>
          <w:lang w:eastAsia="en-GB"/>
        </w:rPr>
        <w:t xml:space="preserve"> </w:t>
      </w:r>
      <w:r w:rsidRPr="008A0215">
        <w:rPr>
          <w:rFonts w:eastAsia="Calibri"/>
          <w:snapToGrid/>
          <w:sz w:val="24"/>
          <w:szCs w:val="24"/>
          <w:lang w:eastAsia="en-GB"/>
        </w:rPr>
        <w:t>the period of co-financing of the operation;</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value added taxes, if the following conditions are fulfilled:</w:t>
      </w:r>
    </w:p>
    <w:p w:rsidR="00736AD2" w:rsidRPr="008A0215" w:rsidRDefault="00736AD2" w:rsidP="00736AD2">
      <w:pPr>
        <w:numPr>
          <w:ilvl w:val="0"/>
          <w:numId w:val="32"/>
        </w:numPr>
        <w:spacing w:after="0" w:line="276" w:lineRule="auto"/>
        <w:ind w:left="2235"/>
        <w:contextualSpacing/>
        <w:jc w:val="left"/>
        <w:rPr>
          <w:rFonts w:eastAsia="Calibri"/>
          <w:snapToGrid/>
          <w:sz w:val="24"/>
          <w:szCs w:val="24"/>
          <w:lang w:eastAsia="en-GB"/>
        </w:rPr>
      </w:pPr>
      <w:r w:rsidRPr="008A0215">
        <w:rPr>
          <w:rFonts w:eastAsia="Calibri"/>
          <w:snapToGrid/>
          <w:sz w:val="24"/>
          <w:szCs w:val="24"/>
          <w:lang w:eastAsia="en-GB"/>
        </w:rPr>
        <w:t>the value added taxes are not recoverable by any means;</w:t>
      </w:r>
    </w:p>
    <w:p w:rsidR="00736AD2" w:rsidRPr="008A0215" w:rsidRDefault="00736AD2" w:rsidP="00736AD2">
      <w:pPr>
        <w:numPr>
          <w:ilvl w:val="0"/>
          <w:numId w:val="32"/>
        </w:numPr>
        <w:spacing w:after="0" w:line="276" w:lineRule="auto"/>
        <w:ind w:left="2235"/>
        <w:contextualSpacing/>
        <w:jc w:val="left"/>
        <w:rPr>
          <w:rFonts w:eastAsia="Calibri"/>
          <w:snapToGrid/>
          <w:sz w:val="24"/>
          <w:szCs w:val="24"/>
          <w:lang w:eastAsia="en-GB"/>
        </w:rPr>
      </w:pPr>
      <w:r w:rsidRPr="008A0215">
        <w:rPr>
          <w:rFonts w:eastAsia="Calibri"/>
          <w:snapToGrid/>
          <w:sz w:val="24"/>
          <w:szCs w:val="24"/>
          <w:lang w:eastAsia="en-GB"/>
        </w:rPr>
        <w:t>it is established that they are borne by the final beneficiary, and</w:t>
      </w:r>
    </w:p>
    <w:p w:rsidR="00736AD2" w:rsidRPr="008A0215" w:rsidRDefault="00736AD2" w:rsidP="00370984">
      <w:pPr>
        <w:numPr>
          <w:ilvl w:val="0"/>
          <w:numId w:val="32"/>
        </w:numPr>
        <w:spacing w:after="0" w:line="276" w:lineRule="auto"/>
        <w:ind w:left="2235"/>
        <w:contextualSpacing/>
        <w:jc w:val="left"/>
        <w:rPr>
          <w:rFonts w:eastAsia="Calibri"/>
          <w:snapToGrid/>
          <w:sz w:val="24"/>
          <w:szCs w:val="24"/>
          <w:lang w:eastAsia="en-GB"/>
        </w:rPr>
      </w:pPr>
      <w:r w:rsidRPr="008A0215">
        <w:rPr>
          <w:rFonts w:eastAsia="Calibri"/>
          <w:snapToGrid/>
          <w:sz w:val="24"/>
          <w:szCs w:val="24"/>
          <w:lang w:eastAsia="en-GB"/>
        </w:rPr>
        <w:t>they are clearly identified in the project proposal.</w:t>
      </w:r>
    </w:p>
    <w:p w:rsidR="00736AD2" w:rsidRPr="008A0215" w:rsidRDefault="00736AD2" w:rsidP="00736AD2">
      <w:pPr>
        <w:numPr>
          <w:ilvl w:val="0"/>
          <w:numId w:val="34"/>
        </w:numPr>
        <w:spacing w:after="0" w:line="276" w:lineRule="auto"/>
        <w:contextualSpacing/>
        <w:jc w:val="left"/>
        <w:rPr>
          <w:rFonts w:eastAsia="Calibri"/>
          <w:snapToGrid/>
          <w:sz w:val="24"/>
          <w:szCs w:val="24"/>
          <w:lang w:eastAsia="en-GB"/>
        </w:rPr>
      </w:pPr>
      <w:r w:rsidRPr="008A0215">
        <w:rPr>
          <w:rFonts w:eastAsia="Calibri"/>
          <w:snapToGrid/>
          <w:sz w:val="24"/>
          <w:szCs w:val="24"/>
          <w:lang w:eastAsia="en-GB"/>
        </w:rPr>
        <w:t>purchase of land and existing building when justified by the nature of the operations.</w:t>
      </w:r>
    </w:p>
    <w:p w:rsidR="00FC244E" w:rsidRPr="008A0215" w:rsidRDefault="00FC244E" w:rsidP="00370984">
      <w:pPr>
        <w:pStyle w:val="ListParagraph"/>
        <w:spacing w:line="276" w:lineRule="auto"/>
        <w:ind w:left="1490"/>
        <w:contextualSpacing/>
        <w:rPr>
          <w:sz w:val="24"/>
          <w:szCs w:val="24"/>
        </w:rPr>
      </w:pPr>
    </w:p>
    <w:p w:rsidR="00357CC0" w:rsidRPr="00875208" w:rsidRDefault="0009588C" w:rsidP="004741A1">
      <w:pPr>
        <w:pStyle w:val="Guidelines2"/>
        <w:rPr>
          <w:rFonts w:ascii="Times New Roman" w:hAnsi="Times New Roman"/>
          <w:szCs w:val="24"/>
        </w:rPr>
      </w:pPr>
      <w:bookmarkStart w:id="18" w:name="_Toc384374705"/>
      <w:r w:rsidRPr="00875208">
        <w:rPr>
          <w:rFonts w:ascii="Times New Roman" w:hAnsi="Times New Roman"/>
          <w:szCs w:val="24"/>
        </w:rPr>
        <w:t>H</w:t>
      </w:r>
      <w:r w:rsidR="00357CC0" w:rsidRPr="00875208">
        <w:rPr>
          <w:rFonts w:ascii="Times New Roman" w:hAnsi="Times New Roman"/>
          <w:szCs w:val="24"/>
        </w:rPr>
        <w:t>ow to apply and the procedures to follow</w:t>
      </w:r>
      <w:bookmarkEnd w:id="18"/>
    </w:p>
    <w:p w:rsidR="00CE5287" w:rsidRPr="00875208" w:rsidRDefault="00357CC0" w:rsidP="0068216F">
      <w:pPr>
        <w:rPr>
          <w:sz w:val="24"/>
          <w:szCs w:val="24"/>
        </w:rPr>
      </w:pPr>
      <w:r w:rsidRPr="00875208">
        <w:rPr>
          <w:sz w:val="24"/>
          <w:szCs w:val="24"/>
        </w:rPr>
        <w:t xml:space="preserve">Prior registration in PADOR for this Call for </w:t>
      </w:r>
      <w:r w:rsidR="003F5036" w:rsidRPr="00875208">
        <w:rPr>
          <w:sz w:val="24"/>
          <w:szCs w:val="24"/>
        </w:rPr>
        <w:t xml:space="preserve">Proposals </w:t>
      </w:r>
      <w:r w:rsidRPr="00875208">
        <w:rPr>
          <w:sz w:val="24"/>
          <w:szCs w:val="24"/>
        </w:rPr>
        <w:t>is not obligatory</w:t>
      </w:r>
      <w:r w:rsidR="003927A2" w:rsidRPr="00875208">
        <w:rPr>
          <w:sz w:val="24"/>
          <w:szCs w:val="24"/>
        </w:rPr>
        <w:t xml:space="preserve">. Information in PADOR will not be drawn upon in the present </w:t>
      </w:r>
      <w:r w:rsidR="00BC363D" w:rsidRPr="00875208">
        <w:rPr>
          <w:sz w:val="24"/>
          <w:szCs w:val="24"/>
        </w:rPr>
        <w:t>Call</w:t>
      </w:r>
      <w:r w:rsidR="00796040">
        <w:rPr>
          <w:sz w:val="24"/>
          <w:szCs w:val="24"/>
        </w:rPr>
        <w:t>.</w:t>
      </w:r>
    </w:p>
    <w:p w:rsidR="008B4806" w:rsidRPr="00875208" w:rsidRDefault="008B4806" w:rsidP="00203ABF">
      <w:pPr>
        <w:pStyle w:val="Guidelines3"/>
        <w:rPr>
          <w:szCs w:val="24"/>
        </w:rPr>
      </w:pPr>
      <w:bookmarkStart w:id="19" w:name="_Toc125454352"/>
      <w:bookmarkStart w:id="20" w:name="_Toc384374706"/>
      <w:r w:rsidRPr="00875208">
        <w:rPr>
          <w:szCs w:val="24"/>
        </w:rPr>
        <w:t xml:space="preserve">Concept Note </w:t>
      </w:r>
      <w:bookmarkEnd w:id="19"/>
      <w:r w:rsidR="00DB0B48" w:rsidRPr="00875208">
        <w:rPr>
          <w:szCs w:val="24"/>
        </w:rPr>
        <w:t>conten</w:t>
      </w:r>
      <w:r w:rsidR="005D7AF3" w:rsidRPr="00875208">
        <w:rPr>
          <w:szCs w:val="24"/>
        </w:rPr>
        <w:t>t</w:t>
      </w:r>
      <w:bookmarkEnd w:id="20"/>
    </w:p>
    <w:p w:rsidR="00DB0B48" w:rsidRPr="00875208" w:rsidRDefault="00DB0B48" w:rsidP="00D570FA">
      <w:pPr>
        <w:spacing w:before="240"/>
        <w:rPr>
          <w:sz w:val="24"/>
          <w:szCs w:val="24"/>
        </w:rPr>
      </w:pPr>
      <w:r w:rsidRPr="00875208">
        <w:rPr>
          <w:sz w:val="24"/>
          <w:szCs w:val="24"/>
        </w:rPr>
        <w:t xml:space="preserve">Applications must be submitted </w:t>
      </w:r>
      <w:r w:rsidR="00E94F83" w:rsidRPr="00875208">
        <w:rPr>
          <w:sz w:val="24"/>
          <w:szCs w:val="24"/>
        </w:rPr>
        <w:t xml:space="preserve">in accordance </w:t>
      </w:r>
      <w:r w:rsidRPr="00875208">
        <w:rPr>
          <w:sz w:val="24"/>
          <w:szCs w:val="24"/>
        </w:rPr>
        <w:t>with the Concept Note</w:t>
      </w:r>
      <w:r w:rsidR="00F47D23" w:rsidRPr="00875208">
        <w:rPr>
          <w:sz w:val="24"/>
          <w:szCs w:val="24"/>
        </w:rPr>
        <w:t xml:space="preserve"> instructions</w:t>
      </w:r>
      <w:r w:rsidRPr="00875208">
        <w:rPr>
          <w:sz w:val="24"/>
          <w:szCs w:val="24"/>
        </w:rPr>
        <w:t xml:space="preserve"> in the Grant Application Form annexed to these Guidelines (Annex A). </w:t>
      </w:r>
    </w:p>
    <w:p w:rsidR="005E2FED" w:rsidRPr="00875208" w:rsidRDefault="00DB0B48" w:rsidP="0068216F">
      <w:pPr>
        <w:rPr>
          <w:sz w:val="24"/>
          <w:szCs w:val="24"/>
        </w:rPr>
      </w:pPr>
      <w:r w:rsidRPr="00875208">
        <w:rPr>
          <w:sz w:val="24"/>
          <w:szCs w:val="24"/>
        </w:rPr>
        <w:t>A</w:t>
      </w:r>
      <w:r w:rsidR="005E2FED" w:rsidRPr="00875208">
        <w:rPr>
          <w:sz w:val="24"/>
          <w:szCs w:val="24"/>
        </w:rPr>
        <w:t xml:space="preserve">pplicants must apply in </w:t>
      </w:r>
      <w:r w:rsidRPr="00875208">
        <w:rPr>
          <w:sz w:val="24"/>
          <w:szCs w:val="24"/>
        </w:rPr>
        <w:t>English</w:t>
      </w:r>
      <w:r w:rsidR="00773B05" w:rsidRPr="00875208">
        <w:rPr>
          <w:sz w:val="24"/>
          <w:szCs w:val="24"/>
        </w:rPr>
        <w:t>.</w:t>
      </w:r>
    </w:p>
    <w:p w:rsidR="00DB0B48" w:rsidRPr="00875208" w:rsidRDefault="00DB0B48" w:rsidP="0068216F">
      <w:pPr>
        <w:rPr>
          <w:sz w:val="24"/>
          <w:szCs w:val="24"/>
        </w:rPr>
      </w:pPr>
      <w:r w:rsidRPr="00875208">
        <w:rPr>
          <w:sz w:val="24"/>
          <w:szCs w:val="24"/>
        </w:rPr>
        <w:t xml:space="preserve">In the Concept </w:t>
      </w:r>
      <w:r w:rsidR="00F47D23" w:rsidRPr="00875208">
        <w:rPr>
          <w:sz w:val="24"/>
          <w:szCs w:val="24"/>
        </w:rPr>
        <w:t>N</w:t>
      </w:r>
      <w:r w:rsidRPr="00875208">
        <w:rPr>
          <w:sz w:val="24"/>
          <w:szCs w:val="24"/>
        </w:rPr>
        <w:t xml:space="preserve">ote, applicants must </w:t>
      </w:r>
      <w:r w:rsidR="00E94F83" w:rsidRPr="00875208">
        <w:rPr>
          <w:sz w:val="24"/>
          <w:szCs w:val="24"/>
        </w:rPr>
        <w:t xml:space="preserve">only </w:t>
      </w:r>
      <w:r w:rsidRPr="00875208">
        <w:rPr>
          <w:sz w:val="24"/>
          <w:szCs w:val="24"/>
        </w:rPr>
        <w:t xml:space="preserve">provide an estimate of </w:t>
      </w:r>
      <w:r w:rsidR="00E94F83" w:rsidRPr="00875208">
        <w:rPr>
          <w:sz w:val="24"/>
          <w:szCs w:val="24"/>
        </w:rPr>
        <w:t xml:space="preserve">the amount of contribution </w:t>
      </w:r>
      <w:r w:rsidRPr="00875208">
        <w:rPr>
          <w:sz w:val="24"/>
          <w:szCs w:val="24"/>
        </w:rPr>
        <w:t xml:space="preserve">requested </w:t>
      </w:r>
      <w:r w:rsidR="00E94F83" w:rsidRPr="00875208">
        <w:rPr>
          <w:sz w:val="24"/>
          <w:szCs w:val="24"/>
        </w:rPr>
        <w:t>from the Contracting Authority</w:t>
      </w:r>
      <w:r w:rsidR="00EE2C5A" w:rsidRPr="00875208">
        <w:rPr>
          <w:sz w:val="24"/>
          <w:szCs w:val="24"/>
        </w:rPr>
        <w:t xml:space="preserve"> and an indicative percentage of that contribution in relation to the total amount of the Action</w:t>
      </w:r>
      <w:r w:rsidRPr="00875208">
        <w:rPr>
          <w:sz w:val="24"/>
          <w:szCs w:val="24"/>
        </w:rPr>
        <w:t>. Only the applicant</w:t>
      </w:r>
      <w:r w:rsidR="00D751A1" w:rsidRPr="00875208">
        <w:rPr>
          <w:sz w:val="24"/>
          <w:szCs w:val="24"/>
        </w:rPr>
        <w:t>s</w:t>
      </w:r>
      <w:r w:rsidRPr="00875208">
        <w:rPr>
          <w:sz w:val="24"/>
          <w:szCs w:val="24"/>
        </w:rPr>
        <w:t xml:space="preserve"> invited to submit a full </w:t>
      </w:r>
      <w:r w:rsidR="006459C5" w:rsidRPr="00875208">
        <w:rPr>
          <w:sz w:val="24"/>
          <w:szCs w:val="24"/>
        </w:rPr>
        <w:t>application</w:t>
      </w:r>
      <w:r w:rsidRPr="00875208">
        <w:rPr>
          <w:sz w:val="24"/>
          <w:szCs w:val="24"/>
        </w:rPr>
        <w:t xml:space="preserve"> in the second phase will be required to present a detailed budget</w:t>
      </w:r>
      <w:r w:rsidR="004B244E" w:rsidRPr="00875208">
        <w:rPr>
          <w:sz w:val="24"/>
          <w:szCs w:val="24"/>
        </w:rPr>
        <w:t>.</w:t>
      </w:r>
      <w:r w:rsidR="003343A2">
        <w:rPr>
          <w:sz w:val="24"/>
          <w:szCs w:val="24"/>
        </w:rPr>
        <w:t xml:space="preserve"> </w:t>
      </w:r>
      <w:r w:rsidR="008A5CD8" w:rsidRPr="00875208">
        <w:rPr>
          <w:sz w:val="24"/>
          <w:szCs w:val="24"/>
        </w:rPr>
        <w:t xml:space="preserve">The elements </w:t>
      </w:r>
      <w:r w:rsidR="002A0BA0" w:rsidRPr="00875208">
        <w:rPr>
          <w:sz w:val="24"/>
          <w:szCs w:val="24"/>
        </w:rPr>
        <w:t>outlined in</w:t>
      </w:r>
      <w:r w:rsidR="008A5CD8" w:rsidRPr="00875208">
        <w:rPr>
          <w:sz w:val="24"/>
          <w:szCs w:val="24"/>
        </w:rPr>
        <w:t xml:space="preserve"> the </w:t>
      </w:r>
      <w:r w:rsidR="002A0BA0" w:rsidRPr="00875208">
        <w:rPr>
          <w:sz w:val="24"/>
          <w:szCs w:val="24"/>
        </w:rPr>
        <w:t>C</w:t>
      </w:r>
      <w:r w:rsidR="008A5CD8" w:rsidRPr="00875208">
        <w:rPr>
          <w:sz w:val="24"/>
          <w:szCs w:val="24"/>
        </w:rPr>
        <w:t xml:space="preserve">oncept </w:t>
      </w:r>
      <w:r w:rsidR="002A0BA0" w:rsidRPr="00875208">
        <w:rPr>
          <w:sz w:val="24"/>
          <w:szCs w:val="24"/>
        </w:rPr>
        <w:t>N</w:t>
      </w:r>
      <w:r w:rsidR="008A5CD8" w:rsidRPr="00875208">
        <w:rPr>
          <w:sz w:val="24"/>
          <w:szCs w:val="24"/>
        </w:rPr>
        <w:t xml:space="preserve">ote may not be modified by the applicant in the full application form. </w:t>
      </w:r>
      <w:r w:rsidR="00030E42" w:rsidRPr="00875208">
        <w:rPr>
          <w:sz w:val="24"/>
          <w:szCs w:val="24"/>
        </w:rPr>
        <w:t xml:space="preserve">The EU contribution </w:t>
      </w:r>
      <w:r w:rsidRPr="00875208">
        <w:rPr>
          <w:sz w:val="24"/>
          <w:szCs w:val="24"/>
        </w:rPr>
        <w:t>may not vary from the initial estimate by more than 20</w:t>
      </w:r>
      <w:r w:rsidR="00A016F9" w:rsidRPr="00875208">
        <w:rPr>
          <w:w w:val="50"/>
          <w:sz w:val="24"/>
          <w:szCs w:val="24"/>
        </w:rPr>
        <w:t> </w:t>
      </w:r>
      <w:r w:rsidRPr="00875208">
        <w:rPr>
          <w:sz w:val="24"/>
          <w:szCs w:val="24"/>
        </w:rPr>
        <w:t>%</w:t>
      </w:r>
      <w:r w:rsidR="004B244E" w:rsidRPr="00875208">
        <w:rPr>
          <w:sz w:val="24"/>
          <w:szCs w:val="24"/>
        </w:rPr>
        <w:t xml:space="preserve">. </w:t>
      </w:r>
      <w:r w:rsidR="00B34A8F" w:rsidRPr="00875208">
        <w:rPr>
          <w:sz w:val="24"/>
          <w:szCs w:val="24"/>
        </w:rPr>
        <w:t xml:space="preserve">Applicants are </w:t>
      </w:r>
      <w:r w:rsidRPr="00875208">
        <w:rPr>
          <w:sz w:val="24"/>
          <w:szCs w:val="24"/>
        </w:rPr>
        <w:t xml:space="preserve">free to adapt the percentage of co-financing required </w:t>
      </w:r>
      <w:r w:rsidR="00237938" w:rsidRPr="00875208">
        <w:rPr>
          <w:sz w:val="24"/>
          <w:szCs w:val="24"/>
        </w:rPr>
        <w:t xml:space="preserve">within </w:t>
      </w:r>
      <w:r w:rsidRPr="00875208">
        <w:rPr>
          <w:sz w:val="24"/>
          <w:szCs w:val="24"/>
        </w:rPr>
        <w:t xml:space="preserve">the minimum and maximum amount </w:t>
      </w:r>
      <w:r w:rsidR="006B5799" w:rsidRPr="00875208">
        <w:rPr>
          <w:sz w:val="24"/>
          <w:szCs w:val="24"/>
        </w:rPr>
        <w:t xml:space="preserve">and percentages </w:t>
      </w:r>
      <w:r w:rsidRPr="00875208">
        <w:rPr>
          <w:sz w:val="24"/>
          <w:szCs w:val="24"/>
        </w:rPr>
        <w:t>of co-finan</w:t>
      </w:r>
      <w:r w:rsidR="00045E79" w:rsidRPr="00875208">
        <w:rPr>
          <w:sz w:val="24"/>
          <w:szCs w:val="24"/>
        </w:rPr>
        <w:t>cing, as laid down in the</w:t>
      </w:r>
      <w:r w:rsidR="002A0BA0" w:rsidRPr="00875208">
        <w:rPr>
          <w:sz w:val="24"/>
          <w:szCs w:val="24"/>
        </w:rPr>
        <w:t>se</w:t>
      </w:r>
      <w:r w:rsidR="00045E79" w:rsidRPr="00875208">
        <w:rPr>
          <w:sz w:val="24"/>
          <w:szCs w:val="24"/>
        </w:rPr>
        <w:t xml:space="preserve"> Guidelines</w:t>
      </w:r>
      <w:r w:rsidR="00EA6578">
        <w:rPr>
          <w:sz w:val="24"/>
          <w:szCs w:val="24"/>
        </w:rPr>
        <w:t xml:space="preserve"> </w:t>
      </w:r>
      <w:r w:rsidR="002A0BA0" w:rsidRPr="00875208">
        <w:rPr>
          <w:sz w:val="24"/>
          <w:szCs w:val="24"/>
        </w:rPr>
        <w:t>in</w:t>
      </w:r>
      <w:r w:rsidR="006B5799" w:rsidRPr="00875208">
        <w:rPr>
          <w:sz w:val="24"/>
          <w:szCs w:val="24"/>
        </w:rPr>
        <w:t xml:space="preserve"> section 1.</w:t>
      </w:r>
      <w:r w:rsidR="00896ECA" w:rsidRPr="00875208">
        <w:rPr>
          <w:sz w:val="24"/>
          <w:szCs w:val="24"/>
        </w:rPr>
        <w:t>3</w:t>
      </w:r>
      <w:r w:rsidR="001B6F5A" w:rsidRPr="00875208">
        <w:rPr>
          <w:sz w:val="24"/>
          <w:szCs w:val="24"/>
        </w:rPr>
        <w:t>.</w:t>
      </w:r>
      <w:r w:rsidR="00B97B95" w:rsidRPr="00875208">
        <w:rPr>
          <w:sz w:val="24"/>
          <w:szCs w:val="24"/>
        </w:rPr>
        <w:t xml:space="preserve"> Own contributions by the applicants can be replaced by other donors</w:t>
      </w:r>
      <w:r w:rsidR="006507EF" w:rsidRPr="00875208">
        <w:rPr>
          <w:sz w:val="24"/>
          <w:szCs w:val="24"/>
        </w:rPr>
        <w:t>'</w:t>
      </w:r>
      <w:r w:rsidR="00B97B95" w:rsidRPr="00875208">
        <w:rPr>
          <w:sz w:val="24"/>
          <w:szCs w:val="24"/>
        </w:rPr>
        <w:t xml:space="preserve"> contributions at any time.</w:t>
      </w:r>
    </w:p>
    <w:p w:rsidR="00DB0B48" w:rsidRPr="00875208" w:rsidRDefault="00DB0B48" w:rsidP="0068216F">
      <w:pPr>
        <w:rPr>
          <w:sz w:val="24"/>
          <w:szCs w:val="24"/>
        </w:rPr>
      </w:pPr>
      <w:r w:rsidRPr="00875208">
        <w:rPr>
          <w:sz w:val="24"/>
          <w:szCs w:val="24"/>
        </w:rPr>
        <w:t xml:space="preserve">Any error or major discrepancy related to the points listed in the Concept Note </w:t>
      </w:r>
      <w:r w:rsidR="002A0BA0" w:rsidRPr="00875208">
        <w:rPr>
          <w:sz w:val="24"/>
          <w:szCs w:val="24"/>
        </w:rPr>
        <w:t xml:space="preserve">instructions </w:t>
      </w:r>
      <w:r w:rsidRPr="00875208">
        <w:rPr>
          <w:sz w:val="24"/>
          <w:szCs w:val="24"/>
        </w:rPr>
        <w:t>may lead to the rejection of the Concept Note.</w:t>
      </w:r>
    </w:p>
    <w:p w:rsidR="00DB0B48" w:rsidRPr="00875208" w:rsidRDefault="00DB0B48" w:rsidP="0068216F">
      <w:pPr>
        <w:rPr>
          <w:sz w:val="24"/>
          <w:szCs w:val="24"/>
        </w:rPr>
      </w:pPr>
      <w:r w:rsidRPr="00875208">
        <w:rPr>
          <w:sz w:val="24"/>
          <w:szCs w:val="24"/>
        </w:rPr>
        <w:t xml:space="preserve">Clarifications will only be requested when information provided is </w:t>
      </w:r>
      <w:r w:rsidR="006E09FB" w:rsidRPr="00875208">
        <w:rPr>
          <w:sz w:val="24"/>
          <w:szCs w:val="24"/>
        </w:rPr>
        <w:t>not sufficient to conduct</w:t>
      </w:r>
      <w:r w:rsidRPr="00875208">
        <w:rPr>
          <w:sz w:val="24"/>
          <w:szCs w:val="24"/>
        </w:rPr>
        <w:t xml:space="preserve"> an objective assessment. </w:t>
      </w:r>
    </w:p>
    <w:p w:rsidR="00DB0B48" w:rsidRPr="00875208" w:rsidRDefault="00DB0B48" w:rsidP="0068216F">
      <w:pPr>
        <w:rPr>
          <w:sz w:val="24"/>
          <w:szCs w:val="24"/>
        </w:rPr>
      </w:pPr>
      <w:r w:rsidRPr="00875208">
        <w:rPr>
          <w:sz w:val="24"/>
          <w:szCs w:val="24"/>
        </w:rPr>
        <w:t xml:space="preserve">Hand-written Concept Notes will </w:t>
      </w:r>
      <w:r w:rsidRPr="00875208">
        <w:rPr>
          <w:b/>
          <w:sz w:val="24"/>
          <w:szCs w:val="24"/>
        </w:rPr>
        <w:t>not be accepted.</w:t>
      </w:r>
    </w:p>
    <w:p w:rsidR="004A0E55" w:rsidRPr="00875208" w:rsidRDefault="008B4806" w:rsidP="0068216F">
      <w:pPr>
        <w:rPr>
          <w:snapToGrid/>
          <w:sz w:val="24"/>
          <w:szCs w:val="24"/>
          <w:lang w:eastAsia="en-GB"/>
        </w:rPr>
      </w:pPr>
      <w:r w:rsidRPr="00875208">
        <w:rPr>
          <w:snapToGrid/>
          <w:sz w:val="24"/>
          <w:szCs w:val="24"/>
          <w:lang w:eastAsia="en-GB"/>
        </w:rPr>
        <w:lastRenderedPageBreak/>
        <w:t xml:space="preserve">Please note that only the Concept Note form will be </w:t>
      </w:r>
      <w:r w:rsidR="004B244E" w:rsidRPr="00875208">
        <w:rPr>
          <w:snapToGrid/>
          <w:sz w:val="24"/>
          <w:szCs w:val="24"/>
          <w:lang w:eastAsia="en-GB"/>
        </w:rPr>
        <w:t>evaluated</w:t>
      </w:r>
      <w:r w:rsidRPr="00875208">
        <w:rPr>
          <w:snapToGrid/>
          <w:sz w:val="24"/>
          <w:szCs w:val="24"/>
          <w:lang w:eastAsia="en-GB"/>
        </w:rPr>
        <w:t>. It is therefore of utmost importance that this document contain</w:t>
      </w:r>
      <w:r w:rsidR="00D751A1" w:rsidRPr="00875208">
        <w:rPr>
          <w:snapToGrid/>
          <w:sz w:val="24"/>
          <w:szCs w:val="24"/>
          <w:lang w:eastAsia="en-GB"/>
        </w:rPr>
        <w:t>s</w:t>
      </w:r>
      <w:r w:rsidRPr="00875208">
        <w:rPr>
          <w:snapToGrid/>
          <w:sz w:val="24"/>
          <w:szCs w:val="24"/>
          <w:lang w:eastAsia="en-GB"/>
        </w:rPr>
        <w:t xml:space="preserve"> ALL relevant information concerning the action.</w:t>
      </w:r>
      <w:r w:rsidR="004B244E" w:rsidRPr="00875208">
        <w:rPr>
          <w:snapToGrid/>
          <w:sz w:val="24"/>
          <w:szCs w:val="24"/>
          <w:lang w:eastAsia="en-GB"/>
        </w:rPr>
        <w:t xml:space="preserve"> No additional annexes should be sent.</w:t>
      </w:r>
    </w:p>
    <w:p w:rsidR="008B4806" w:rsidRPr="00875208" w:rsidRDefault="008B4806" w:rsidP="00203ABF">
      <w:pPr>
        <w:pStyle w:val="Guidelines3"/>
        <w:rPr>
          <w:szCs w:val="24"/>
        </w:rPr>
      </w:pPr>
      <w:bookmarkStart w:id="21" w:name="_Toc125454353"/>
      <w:bookmarkStart w:id="22" w:name="_Toc384374707"/>
      <w:r w:rsidRPr="00875208">
        <w:rPr>
          <w:szCs w:val="24"/>
        </w:rPr>
        <w:t xml:space="preserve">Where and how to send </w:t>
      </w:r>
      <w:r w:rsidR="002A0BA0" w:rsidRPr="00875208">
        <w:rPr>
          <w:szCs w:val="24"/>
        </w:rPr>
        <w:t>C</w:t>
      </w:r>
      <w:r w:rsidRPr="00875208">
        <w:rPr>
          <w:szCs w:val="24"/>
        </w:rPr>
        <w:t xml:space="preserve">oncept </w:t>
      </w:r>
      <w:r w:rsidR="002A0BA0" w:rsidRPr="00875208">
        <w:rPr>
          <w:szCs w:val="24"/>
        </w:rPr>
        <w:t>N</w:t>
      </w:r>
      <w:r w:rsidRPr="00875208">
        <w:rPr>
          <w:szCs w:val="24"/>
        </w:rPr>
        <w:t>otes</w:t>
      </w:r>
      <w:bookmarkEnd w:id="21"/>
      <w:bookmarkEnd w:id="22"/>
    </w:p>
    <w:p w:rsidR="00B50652" w:rsidRPr="00875208" w:rsidRDefault="00B50652" w:rsidP="0068216F">
      <w:pPr>
        <w:spacing w:before="240"/>
        <w:rPr>
          <w:snapToGrid/>
          <w:sz w:val="24"/>
          <w:szCs w:val="24"/>
          <w:lang w:eastAsia="en-GB"/>
        </w:rPr>
      </w:pPr>
      <w:r w:rsidRPr="00875208">
        <w:rPr>
          <w:sz w:val="24"/>
          <w:szCs w:val="24"/>
        </w:rPr>
        <w:t xml:space="preserve">The Concept </w:t>
      </w:r>
      <w:r w:rsidR="002A0BA0" w:rsidRPr="00875208">
        <w:rPr>
          <w:sz w:val="24"/>
          <w:szCs w:val="24"/>
        </w:rPr>
        <w:t>N</w:t>
      </w:r>
      <w:r w:rsidRPr="00875208">
        <w:rPr>
          <w:sz w:val="24"/>
          <w:szCs w:val="24"/>
        </w:rPr>
        <w:t xml:space="preserve">ote together with </w:t>
      </w:r>
      <w:r w:rsidR="00BA7002" w:rsidRPr="00875208">
        <w:rPr>
          <w:sz w:val="24"/>
          <w:szCs w:val="24"/>
        </w:rPr>
        <w:t xml:space="preserve">its </w:t>
      </w:r>
      <w:r w:rsidR="00593721" w:rsidRPr="00875208">
        <w:rPr>
          <w:sz w:val="24"/>
          <w:szCs w:val="24"/>
        </w:rPr>
        <w:t>relating</w:t>
      </w:r>
      <w:r w:rsidRPr="00875208">
        <w:rPr>
          <w:sz w:val="24"/>
          <w:szCs w:val="24"/>
        </w:rPr>
        <w:t xml:space="preserve"> Checklist and Declaration by the applicant (</w:t>
      </w:r>
      <w:r w:rsidR="00764123" w:rsidRPr="00875208">
        <w:rPr>
          <w:sz w:val="24"/>
          <w:szCs w:val="24"/>
        </w:rPr>
        <w:t xml:space="preserve">to be found in </w:t>
      </w:r>
      <w:r w:rsidRPr="00875208">
        <w:rPr>
          <w:b/>
          <w:sz w:val="24"/>
          <w:szCs w:val="24"/>
        </w:rPr>
        <w:t xml:space="preserve">Part </w:t>
      </w:r>
      <w:r w:rsidR="00B57DB9" w:rsidRPr="00875208">
        <w:rPr>
          <w:b/>
          <w:sz w:val="24"/>
          <w:szCs w:val="24"/>
        </w:rPr>
        <w:t>A</w:t>
      </w:r>
      <w:r w:rsidR="00B57DB9" w:rsidRPr="00875208">
        <w:rPr>
          <w:sz w:val="24"/>
          <w:szCs w:val="24"/>
        </w:rPr>
        <w:t xml:space="preserve"> sections</w:t>
      </w:r>
      <w:r w:rsidR="00BA7002" w:rsidRPr="00875208">
        <w:rPr>
          <w:b/>
          <w:sz w:val="24"/>
          <w:szCs w:val="24"/>
        </w:rPr>
        <w:t xml:space="preserve"> 2 and</w:t>
      </w:r>
      <w:r w:rsidR="00CA1EA5">
        <w:rPr>
          <w:b/>
          <w:sz w:val="24"/>
          <w:szCs w:val="24"/>
        </w:rPr>
        <w:t xml:space="preserve"> </w:t>
      </w:r>
      <w:r w:rsidR="001B6F5A" w:rsidRPr="00875208">
        <w:rPr>
          <w:b/>
          <w:sz w:val="24"/>
          <w:szCs w:val="24"/>
        </w:rPr>
        <w:t>3</w:t>
      </w:r>
      <w:r w:rsidR="00CA1EA5">
        <w:rPr>
          <w:b/>
          <w:sz w:val="24"/>
          <w:szCs w:val="24"/>
        </w:rPr>
        <w:t xml:space="preserve"> </w:t>
      </w:r>
      <w:r w:rsidRPr="00875208">
        <w:rPr>
          <w:sz w:val="24"/>
          <w:szCs w:val="24"/>
        </w:rPr>
        <w:t xml:space="preserve">of the grant application form) must be </w:t>
      </w:r>
      <w:r w:rsidR="00773B05" w:rsidRPr="00875208">
        <w:rPr>
          <w:snapToGrid/>
          <w:sz w:val="24"/>
          <w:szCs w:val="24"/>
          <w:lang w:eastAsia="en-GB"/>
        </w:rPr>
        <w:t xml:space="preserve">submitted in one original and </w:t>
      </w:r>
      <w:r w:rsidR="006126CF" w:rsidRPr="00875208">
        <w:rPr>
          <w:snapToGrid/>
          <w:sz w:val="24"/>
          <w:szCs w:val="24"/>
          <w:lang w:eastAsia="en-GB"/>
        </w:rPr>
        <w:t>two</w:t>
      </w:r>
      <w:r w:rsidR="00773B05" w:rsidRPr="00875208">
        <w:rPr>
          <w:snapToGrid/>
          <w:sz w:val="24"/>
          <w:szCs w:val="24"/>
          <w:lang w:eastAsia="en-GB"/>
        </w:rPr>
        <w:t>(</w:t>
      </w:r>
      <w:r w:rsidR="006126CF" w:rsidRPr="00875208">
        <w:rPr>
          <w:snapToGrid/>
          <w:sz w:val="24"/>
          <w:szCs w:val="24"/>
          <w:lang w:eastAsia="en-GB"/>
        </w:rPr>
        <w:t>2</w:t>
      </w:r>
      <w:r w:rsidR="00773B05" w:rsidRPr="00875208">
        <w:rPr>
          <w:snapToGrid/>
          <w:sz w:val="24"/>
          <w:szCs w:val="24"/>
          <w:lang w:eastAsia="en-GB"/>
        </w:rPr>
        <w:t>)</w:t>
      </w:r>
      <w:r w:rsidR="006126CF" w:rsidRPr="00875208">
        <w:rPr>
          <w:snapToGrid/>
          <w:sz w:val="24"/>
          <w:szCs w:val="24"/>
          <w:lang w:eastAsia="en-GB"/>
        </w:rPr>
        <w:t xml:space="preserve">copies </w:t>
      </w:r>
      <w:r w:rsidRPr="00875208">
        <w:rPr>
          <w:snapToGrid/>
          <w:sz w:val="24"/>
          <w:szCs w:val="24"/>
          <w:lang w:eastAsia="en-GB"/>
        </w:rPr>
        <w:t xml:space="preserve">in A4 </w:t>
      </w:r>
      <w:r w:rsidR="00A016F9" w:rsidRPr="00875208">
        <w:rPr>
          <w:snapToGrid/>
          <w:sz w:val="24"/>
          <w:szCs w:val="24"/>
          <w:lang w:eastAsia="en-GB"/>
        </w:rPr>
        <w:t>size</w:t>
      </w:r>
      <w:r w:rsidRPr="00875208">
        <w:rPr>
          <w:snapToGrid/>
          <w:sz w:val="24"/>
          <w:szCs w:val="24"/>
          <w:lang w:eastAsia="en-GB"/>
        </w:rPr>
        <w:t>, each bound.</w:t>
      </w:r>
    </w:p>
    <w:p w:rsidR="00B50652" w:rsidRDefault="003E106D" w:rsidP="0068216F">
      <w:pPr>
        <w:rPr>
          <w:sz w:val="24"/>
          <w:szCs w:val="24"/>
        </w:rPr>
      </w:pPr>
      <w:r w:rsidRPr="00875208">
        <w:rPr>
          <w:snapToGrid/>
          <w:sz w:val="24"/>
          <w:szCs w:val="24"/>
          <w:lang w:eastAsia="en-GB"/>
        </w:rPr>
        <w:t xml:space="preserve">An electronic version of the </w:t>
      </w:r>
      <w:r w:rsidR="00B50652" w:rsidRPr="00875208">
        <w:rPr>
          <w:snapToGrid/>
          <w:sz w:val="24"/>
          <w:szCs w:val="24"/>
          <w:lang w:eastAsia="en-GB"/>
        </w:rPr>
        <w:t xml:space="preserve">Concept Note must </w:t>
      </w:r>
      <w:r w:rsidR="002A0BA0" w:rsidRPr="00875208">
        <w:rPr>
          <w:snapToGrid/>
          <w:sz w:val="24"/>
          <w:szCs w:val="24"/>
          <w:lang w:eastAsia="en-GB"/>
        </w:rPr>
        <w:t xml:space="preserve">also </w:t>
      </w:r>
      <w:r w:rsidR="00B50652" w:rsidRPr="00875208">
        <w:rPr>
          <w:snapToGrid/>
          <w:sz w:val="24"/>
          <w:szCs w:val="24"/>
          <w:lang w:eastAsia="en-GB"/>
        </w:rPr>
        <w:t>be submitted</w:t>
      </w:r>
      <w:r w:rsidRPr="00875208">
        <w:rPr>
          <w:snapToGrid/>
          <w:sz w:val="24"/>
          <w:szCs w:val="24"/>
          <w:lang w:eastAsia="en-GB"/>
        </w:rPr>
        <w:t xml:space="preserve">. A </w:t>
      </w:r>
      <w:r w:rsidR="00B50652" w:rsidRPr="00875208">
        <w:rPr>
          <w:snapToGrid/>
          <w:sz w:val="24"/>
          <w:szCs w:val="24"/>
          <w:lang w:eastAsia="en-GB"/>
        </w:rPr>
        <w:t>CD-Rom</w:t>
      </w:r>
      <w:r w:rsidRPr="00875208">
        <w:rPr>
          <w:snapToGrid/>
          <w:sz w:val="24"/>
          <w:szCs w:val="24"/>
          <w:lang w:eastAsia="en-GB"/>
        </w:rPr>
        <w:t xml:space="preserve"> with the Concept Note in electronic format will be included, along with the paper version, in a sealed envelope as described below</w:t>
      </w:r>
      <w:r w:rsidR="00B50652" w:rsidRPr="00875208">
        <w:rPr>
          <w:snapToGrid/>
          <w:sz w:val="24"/>
          <w:szCs w:val="24"/>
          <w:lang w:eastAsia="en-GB"/>
        </w:rPr>
        <w:t xml:space="preserve">. </w:t>
      </w:r>
      <w:r w:rsidR="00B50652" w:rsidRPr="00875208">
        <w:rPr>
          <w:sz w:val="24"/>
          <w:szCs w:val="24"/>
        </w:rPr>
        <w:t xml:space="preserve">The electronic </w:t>
      </w:r>
      <w:r w:rsidR="00A030A6" w:rsidRPr="00875208">
        <w:rPr>
          <w:sz w:val="24"/>
          <w:szCs w:val="24"/>
        </w:rPr>
        <w:t>file</w:t>
      </w:r>
      <w:r w:rsidR="00B50652" w:rsidRPr="00875208">
        <w:rPr>
          <w:sz w:val="24"/>
          <w:szCs w:val="24"/>
        </w:rPr>
        <w:t xml:space="preserve"> must contain </w:t>
      </w:r>
      <w:r w:rsidR="00B50652" w:rsidRPr="00875208">
        <w:rPr>
          <w:b/>
          <w:sz w:val="24"/>
          <w:szCs w:val="24"/>
        </w:rPr>
        <w:t>exactly the same</w:t>
      </w:r>
      <w:r w:rsidR="00B50652" w:rsidRPr="00875208">
        <w:rPr>
          <w:sz w:val="24"/>
          <w:szCs w:val="24"/>
        </w:rPr>
        <w:t xml:space="preserve"> application as the paper version enclosed. </w:t>
      </w:r>
    </w:p>
    <w:p w:rsidR="00796040" w:rsidRPr="00875208" w:rsidRDefault="00796040" w:rsidP="0068216F">
      <w:pPr>
        <w:rPr>
          <w:snapToGrid/>
          <w:sz w:val="24"/>
          <w:szCs w:val="24"/>
          <w:lang w:eastAsia="en-GB"/>
        </w:rPr>
      </w:pPr>
      <w:r w:rsidRPr="00796040">
        <w:rPr>
          <w:snapToGrid/>
          <w:sz w:val="24"/>
          <w:szCs w:val="24"/>
          <w:lang w:eastAsia="en-GB"/>
        </w:rPr>
        <w:t>Where applicants send several different Concept Notes (if allowed to do so by the Guidelines of the Call), each one must be sent separately.</w:t>
      </w:r>
    </w:p>
    <w:p w:rsidR="00773B05" w:rsidRPr="00875208" w:rsidRDefault="00B50652" w:rsidP="00370984">
      <w:pPr>
        <w:suppressAutoHyphens/>
        <w:spacing w:after="240"/>
        <w:rPr>
          <w:sz w:val="24"/>
          <w:szCs w:val="24"/>
        </w:rPr>
      </w:pPr>
      <w:r w:rsidRPr="00875208">
        <w:rPr>
          <w:sz w:val="24"/>
          <w:szCs w:val="24"/>
        </w:rPr>
        <w:t xml:space="preserve">The outer envelope must bear the </w:t>
      </w:r>
      <w:r w:rsidRPr="00875208">
        <w:rPr>
          <w:b/>
          <w:sz w:val="24"/>
          <w:szCs w:val="24"/>
          <w:u w:val="single"/>
        </w:rPr>
        <w:t>reference number and the title of the call for proposals</w:t>
      </w:r>
      <w:r w:rsidRPr="00875208">
        <w:rPr>
          <w:sz w:val="24"/>
          <w:szCs w:val="24"/>
        </w:rPr>
        <w:t xml:space="preserve">, together with </w:t>
      </w:r>
      <w:r w:rsidR="004D67AB" w:rsidRPr="00875208">
        <w:rPr>
          <w:sz w:val="24"/>
          <w:szCs w:val="24"/>
        </w:rPr>
        <w:t>[</w:t>
      </w:r>
      <w:r w:rsidRPr="00875208">
        <w:rPr>
          <w:sz w:val="24"/>
          <w:szCs w:val="24"/>
        </w:rPr>
        <w:t>the lot number and title</w:t>
      </w:r>
      <w:r w:rsidR="004D67AB" w:rsidRPr="00875208">
        <w:rPr>
          <w:sz w:val="24"/>
          <w:szCs w:val="24"/>
        </w:rPr>
        <w:t>]</w:t>
      </w:r>
      <w:r w:rsidRPr="00875208">
        <w:rPr>
          <w:sz w:val="24"/>
          <w:szCs w:val="24"/>
        </w:rPr>
        <w:t xml:space="preserve"> the full name and address of the applicant, and the words </w:t>
      </w:r>
      <w:r w:rsidR="00A016F9" w:rsidRPr="00875208">
        <w:rPr>
          <w:sz w:val="24"/>
          <w:szCs w:val="24"/>
        </w:rPr>
        <w:t>‘</w:t>
      </w:r>
      <w:r w:rsidRPr="00875208">
        <w:rPr>
          <w:sz w:val="24"/>
          <w:szCs w:val="24"/>
        </w:rPr>
        <w:t>Not to be opened before the opening session</w:t>
      </w:r>
      <w:r w:rsidR="00A016F9" w:rsidRPr="00875208">
        <w:rPr>
          <w:sz w:val="24"/>
          <w:szCs w:val="24"/>
        </w:rPr>
        <w:t>’</w:t>
      </w:r>
      <w:r w:rsidRPr="00875208">
        <w:rPr>
          <w:sz w:val="24"/>
          <w:szCs w:val="24"/>
        </w:rPr>
        <w:t xml:space="preserve"> and </w:t>
      </w:r>
      <w:r w:rsidR="008826BE">
        <w:rPr>
          <w:sz w:val="24"/>
          <w:szCs w:val="24"/>
          <w:lang w:val="sr-Cyrl-RS"/>
        </w:rPr>
        <w:t>„</w:t>
      </w:r>
      <w:r w:rsidR="00773B05" w:rsidRPr="00875208">
        <w:rPr>
          <w:sz w:val="24"/>
          <w:szCs w:val="24"/>
        </w:rPr>
        <w:t>NE OTVARATI PRE ZVANIČNOG OTVARANJA PRIJAVA”.</w:t>
      </w:r>
    </w:p>
    <w:p w:rsidR="008B4806" w:rsidRPr="00875208" w:rsidRDefault="008B4806" w:rsidP="0068216F">
      <w:pPr>
        <w:rPr>
          <w:sz w:val="24"/>
          <w:szCs w:val="24"/>
        </w:rPr>
      </w:pPr>
      <w:r w:rsidRPr="00875208">
        <w:rPr>
          <w:sz w:val="24"/>
          <w:szCs w:val="24"/>
        </w:rPr>
        <w:t xml:space="preserve">Concept Notes must be submitted in a sealed envelope by registered mail, private courier service or by hand-delivery (a signed and dated certificate of receipt will be given to the deliverer) </w:t>
      </w:r>
      <w:r w:rsidR="002A0BA0" w:rsidRPr="00875208">
        <w:rPr>
          <w:sz w:val="24"/>
          <w:szCs w:val="24"/>
        </w:rPr>
        <w:t xml:space="preserve">to </w:t>
      </w:r>
      <w:r w:rsidRPr="00875208">
        <w:rPr>
          <w:sz w:val="24"/>
          <w:szCs w:val="24"/>
        </w:rPr>
        <w:t>the address below:</w:t>
      </w:r>
    </w:p>
    <w:p w:rsidR="00FF4B7F" w:rsidRPr="00875208" w:rsidRDefault="00FF4B7F" w:rsidP="00FF4B7F">
      <w:pPr>
        <w:widowControl w:val="0"/>
        <w:tabs>
          <w:tab w:val="left" w:pos="720"/>
          <w:tab w:val="left" w:pos="4230"/>
        </w:tabs>
        <w:spacing w:after="0"/>
        <w:ind w:right="-68"/>
        <w:jc w:val="center"/>
        <w:rPr>
          <w:sz w:val="24"/>
          <w:szCs w:val="24"/>
        </w:rPr>
      </w:pPr>
      <w:bookmarkStart w:id="23" w:name="OLE_LINK3"/>
      <w:bookmarkStart w:id="24" w:name="OLE_LINK4"/>
      <w:r w:rsidRPr="00875208">
        <w:rPr>
          <w:sz w:val="24"/>
          <w:szCs w:val="24"/>
        </w:rPr>
        <w:t xml:space="preserve">Ministry of Finance, </w:t>
      </w:r>
    </w:p>
    <w:p w:rsidR="00FF4B7F" w:rsidRDefault="00FF4B7F" w:rsidP="00FF4B7F">
      <w:pPr>
        <w:widowControl w:val="0"/>
        <w:spacing w:after="0"/>
        <w:ind w:right="-68"/>
        <w:jc w:val="center"/>
        <w:rPr>
          <w:sz w:val="24"/>
          <w:szCs w:val="24"/>
        </w:rPr>
      </w:pPr>
      <w:r w:rsidRPr="00875208">
        <w:rPr>
          <w:sz w:val="24"/>
          <w:szCs w:val="24"/>
        </w:rPr>
        <w:t>Department for Contracting and Financing of EU Funded Programmes (CFCU)</w:t>
      </w:r>
    </w:p>
    <w:p w:rsidR="00B749B7" w:rsidRPr="00875208" w:rsidRDefault="00B749B7" w:rsidP="00FF4B7F">
      <w:pPr>
        <w:widowControl w:val="0"/>
        <w:spacing w:after="0"/>
        <w:ind w:right="-68"/>
        <w:jc w:val="center"/>
        <w:rPr>
          <w:sz w:val="24"/>
          <w:szCs w:val="24"/>
        </w:rPr>
      </w:pPr>
      <w:r>
        <w:rPr>
          <w:sz w:val="24"/>
          <w:szCs w:val="24"/>
        </w:rPr>
        <w:t>Division for Evaluation and Contracting</w:t>
      </w:r>
    </w:p>
    <w:p w:rsidR="00FF4B7F" w:rsidRPr="00875208" w:rsidRDefault="00D0413D" w:rsidP="00FF4B7F">
      <w:pPr>
        <w:widowControl w:val="0"/>
        <w:spacing w:after="0"/>
        <w:ind w:right="-68"/>
        <w:jc w:val="center"/>
        <w:rPr>
          <w:noProof/>
          <w:sz w:val="24"/>
          <w:szCs w:val="24"/>
          <w:lang w:val="en-US"/>
        </w:rPr>
      </w:pPr>
      <w:r w:rsidRPr="00875208">
        <w:rPr>
          <w:noProof/>
          <w:sz w:val="24"/>
          <w:szCs w:val="24"/>
          <w:lang w:val="en-US"/>
        </w:rPr>
        <w:t>Sremska Str</w:t>
      </w:r>
      <w:r w:rsidR="00A83A87">
        <w:rPr>
          <w:noProof/>
          <w:sz w:val="24"/>
          <w:szCs w:val="24"/>
          <w:lang w:val="en-US"/>
        </w:rPr>
        <w:t>, 3-5</w:t>
      </w:r>
      <w:r w:rsidR="00B44676">
        <w:rPr>
          <w:noProof/>
          <w:sz w:val="24"/>
          <w:szCs w:val="24"/>
          <w:lang w:val="en-US"/>
        </w:rPr>
        <w:t>/</w:t>
      </w:r>
      <w:r w:rsidR="00A83A87" w:rsidRPr="00A83A87">
        <w:rPr>
          <w:noProof/>
          <w:sz w:val="24"/>
          <w:szCs w:val="24"/>
          <w:lang w:val="en-US"/>
        </w:rPr>
        <w:t>VII floor, Office 701</w:t>
      </w:r>
      <w:r w:rsidR="00FF4B7F" w:rsidRPr="00875208">
        <w:rPr>
          <w:noProof/>
          <w:sz w:val="24"/>
          <w:szCs w:val="24"/>
          <w:lang w:val="en-US"/>
        </w:rPr>
        <w:t>, Belgrade, 11000</w:t>
      </w:r>
    </w:p>
    <w:p w:rsidR="00FF4B7F" w:rsidRPr="00875208" w:rsidRDefault="00FF4B7F" w:rsidP="00FF4B7F">
      <w:pPr>
        <w:widowControl w:val="0"/>
        <w:spacing w:after="0"/>
        <w:ind w:right="-68"/>
        <w:jc w:val="center"/>
        <w:rPr>
          <w:sz w:val="24"/>
          <w:szCs w:val="24"/>
        </w:rPr>
      </w:pPr>
      <w:r w:rsidRPr="00875208">
        <w:rPr>
          <w:sz w:val="24"/>
          <w:szCs w:val="24"/>
        </w:rPr>
        <w:t>Republic of Serbia</w:t>
      </w:r>
    </w:p>
    <w:p w:rsidR="001F56CE" w:rsidRPr="00875208" w:rsidRDefault="001F56CE" w:rsidP="00FF4B7F">
      <w:pPr>
        <w:widowControl w:val="0"/>
        <w:spacing w:after="0"/>
        <w:ind w:right="-68"/>
        <w:jc w:val="center"/>
        <w:rPr>
          <w:b/>
          <w:sz w:val="24"/>
          <w:szCs w:val="24"/>
          <w:lang w:val="en-US"/>
        </w:rPr>
      </w:pPr>
    </w:p>
    <w:p w:rsidR="001F56CE" w:rsidRPr="00875208" w:rsidRDefault="001F56CE" w:rsidP="00FF4B7F">
      <w:pPr>
        <w:widowControl w:val="0"/>
        <w:spacing w:after="0"/>
        <w:ind w:right="-68"/>
        <w:jc w:val="center"/>
        <w:rPr>
          <w:b/>
          <w:sz w:val="24"/>
          <w:szCs w:val="24"/>
          <w:lang w:val="en-US"/>
        </w:rPr>
      </w:pPr>
    </w:p>
    <w:bookmarkEnd w:id="23"/>
    <w:bookmarkEnd w:id="24"/>
    <w:p w:rsidR="008B4806" w:rsidRPr="00875208" w:rsidRDefault="008B4806" w:rsidP="0068216F">
      <w:pPr>
        <w:rPr>
          <w:sz w:val="24"/>
          <w:szCs w:val="24"/>
        </w:rPr>
      </w:pPr>
      <w:r w:rsidRPr="00875208">
        <w:rPr>
          <w:sz w:val="24"/>
          <w:szCs w:val="24"/>
        </w:rPr>
        <w:t xml:space="preserve">Concept Notes sent by any other means (e.g. by fax or by e-mail) or delivered to other addresses will be rejected. </w:t>
      </w:r>
    </w:p>
    <w:p w:rsidR="008B4806" w:rsidRDefault="008B4806" w:rsidP="0068216F">
      <w:pPr>
        <w:rPr>
          <w:b/>
          <w:sz w:val="24"/>
          <w:szCs w:val="24"/>
          <w:u w:val="single"/>
        </w:rPr>
      </w:pPr>
      <w:r w:rsidRPr="00875208">
        <w:rPr>
          <w:b/>
          <w:sz w:val="24"/>
          <w:szCs w:val="24"/>
        </w:rPr>
        <w:t xml:space="preserve">Applicants must verify that their Concept Note is complete using the </w:t>
      </w:r>
      <w:r w:rsidR="00CF7BEF" w:rsidRPr="00875208">
        <w:rPr>
          <w:b/>
          <w:sz w:val="24"/>
          <w:szCs w:val="24"/>
        </w:rPr>
        <w:t>C</w:t>
      </w:r>
      <w:r w:rsidRPr="00875208">
        <w:rPr>
          <w:b/>
          <w:sz w:val="24"/>
          <w:szCs w:val="24"/>
        </w:rPr>
        <w:t xml:space="preserve">hecklist </w:t>
      </w:r>
      <w:r w:rsidR="00CF7BEF" w:rsidRPr="00875208">
        <w:rPr>
          <w:b/>
          <w:sz w:val="24"/>
          <w:szCs w:val="24"/>
        </w:rPr>
        <w:t xml:space="preserve">for Concept Note </w:t>
      </w:r>
      <w:r w:rsidRPr="00875208">
        <w:rPr>
          <w:b/>
          <w:sz w:val="24"/>
          <w:szCs w:val="24"/>
        </w:rPr>
        <w:t>(</w:t>
      </w:r>
      <w:r w:rsidR="00CF7BEF" w:rsidRPr="00875208">
        <w:rPr>
          <w:b/>
          <w:sz w:val="24"/>
          <w:szCs w:val="24"/>
        </w:rPr>
        <w:t xml:space="preserve">Part A </w:t>
      </w:r>
      <w:r w:rsidRPr="00875208">
        <w:rPr>
          <w:b/>
          <w:sz w:val="24"/>
          <w:szCs w:val="24"/>
        </w:rPr>
        <w:t xml:space="preserve">section </w:t>
      </w:r>
      <w:r w:rsidR="00AF40C6" w:rsidRPr="00875208">
        <w:rPr>
          <w:b/>
          <w:sz w:val="24"/>
          <w:szCs w:val="24"/>
        </w:rPr>
        <w:t>2</w:t>
      </w:r>
      <w:r w:rsidRPr="00875208">
        <w:rPr>
          <w:b/>
          <w:sz w:val="24"/>
          <w:szCs w:val="24"/>
        </w:rPr>
        <w:t xml:space="preserve"> of the </w:t>
      </w:r>
      <w:r w:rsidR="00CF7BEF" w:rsidRPr="00875208">
        <w:rPr>
          <w:b/>
          <w:sz w:val="24"/>
          <w:szCs w:val="24"/>
        </w:rPr>
        <w:t xml:space="preserve">grant application </w:t>
      </w:r>
      <w:r w:rsidRPr="00875208">
        <w:rPr>
          <w:b/>
          <w:sz w:val="24"/>
          <w:szCs w:val="24"/>
        </w:rPr>
        <w:t xml:space="preserve">form). </w:t>
      </w:r>
      <w:r w:rsidRPr="00875208">
        <w:rPr>
          <w:b/>
          <w:sz w:val="24"/>
          <w:szCs w:val="24"/>
          <w:u w:val="single"/>
        </w:rPr>
        <w:t xml:space="preserve">Incomplete concept notes </w:t>
      </w:r>
      <w:r w:rsidR="00045E79" w:rsidRPr="00875208">
        <w:rPr>
          <w:b/>
          <w:sz w:val="24"/>
          <w:szCs w:val="24"/>
          <w:u w:val="single"/>
        </w:rPr>
        <w:t>may</w:t>
      </w:r>
      <w:r w:rsidRPr="00875208">
        <w:rPr>
          <w:b/>
          <w:sz w:val="24"/>
          <w:szCs w:val="24"/>
          <w:u w:val="single"/>
        </w:rPr>
        <w:t xml:space="preserve"> be rejected.</w:t>
      </w:r>
    </w:p>
    <w:p w:rsidR="004A0E55" w:rsidRPr="00875208" w:rsidRDefault="004A0E55" w:rsidP="0068216F">
      <w:pPr>
        <w:rPr>
          <w:b/>
          <w:sz w:val="24"/>
          <w:szCs w:val="24"/>
          <w:u w:val="single"/>
        </w:rPr>
      </w:pPr>
    </w:p>
    <w:p w:rsidR="008B4806" w:rsidRPr="00875208" w:rsidRDefault="008B4806" w:rsidP="00203ABF">
      <w:pPr>
        <w:pStyle w:val="Guidelines3"/>
        <w:rPr>
          <w:szCs w:val="24"/>
        </w:rPr>
      </w:pPr>
      <w:bookmarkStart w:id="25" w:name="_Toc125454354"/>
      <w:bookmarkStart w:id="26" w:name="_Toc384374708"/>
      <w:r w:rsidRPr="00875208">
        <w:rPr>
          <w:szCs w:val="24"/>
        </w:rPr>
        <w:t xml:space="preserve">Deadline for </w:t>
      </w:r>
      <w:r w:rsidR="005C3B40" w:rsidRPr="00875208">
        <w:rPr>
          <w:szCs w:val="24"/>
        </w:rPr>
        <w:t xml:space="preserve">submission </w:t>
      </w:r>
      <w:r w:rsidRPr="00875208">
        <w:rPr>
          <w:szCs w:val="24"/>
        </w:rPr>
        <w:t>of Concept Notes</w:t>
      </w:r>
      <w:bookmarkEnd w:id="25"/>
      <w:bookmarkEnd w:id="26"/>
    </w:p>
    <w:p w:rsidR="00CA6D19" w:rsidRPr="00875208" w:rsidRDefault="00CA6D19" w:rsidP="0068216F">
      <w:pPr>
        <w:spacing w:before="240"/>
        <w:rPr>
          <w:sz w:val="24"/>
          <w:szCs w:val="24"/>
        </w:rPr>
      </w:pPr>
      <w:r w:rsidRPr="00875208">
        <w:rPr>
          <w:sz w:val="24"/>
          <w:szCs w:val="24"/>
        </w:rPr>
        <w:t xml:space="preserve">The deadline for the submission of </w:t>
      </w:r>
      <w:r w:rsidR="00045E79" w:rsidRPr="00875208">
        <w:rPr>
          <w:sz w:val="24"/>
          <w:szCs w:val="24"/>
        </w:rPr>
        <w:t>Concept Note</w:t>
      </w:r>
      <w:r w:rsidR="002A0BA0" w:rsidRPr="00875208">
        <w:rPr>
          <w:sz w:val="24"/>
          <w:szCs w:val="24"/>
        </w:rPr>
        <w:t>s</w:t>
      </w:r>
      <w:r w:rsidRPr="00875208">
        <w:rPr>
          <w:sz w:val="24"/>
          <w:szCs w:val="24"/>
        </w:rPr>
        <w:t xml:space="preserve"> is </w:t>
      </w:r>
      <w:r w:rsidR="00587488" w:rsidRPr="007B4294">
        <w:rPr>
          <w:sz w:val="24"/>
          <w:szCs w:val="24"/>
        </w:rPr>
        <w:t>28</w:t>
      </w:r>
      <w:r w:rsidR="004E245A" w:rsidRPr="007B4294">
        <w:rPr>
          <w:sz w:val="24"/>
          <w:szCs w:val="24"/>
        </w:rPr>
        <w:t xml:space="preserve"> April 2015</w:t>
      </w:r>
      <w:r w:rsidR="004E245A">
        <w:rPr>
          <w:sz w:val="24"/>
          <w:szCs w:val="24"/>
        </w:rPr>
        <w:t xml:space="preserve"> </w:t>
      </w:r>
      <w:r w:rsidRPr="00875208">
        <w:rPr>
          <w:sz w:val="24"/>
          <w:szCs w:val="24"/>
        </w:rPr>
        <w:t xml:space="preserve">as evidenced by the date of dispatch, the postmark or the date of the deposit slip. In </w:t>
      </w:r>
      <w:r w:rsidR="00011765" w:rsidRPr="00875208">
        <w:rPr>
          <w:sz w:val="24"/>
          <w:szCs w:val="24"/>
        </w:rPr>
        <w:t xml:space="preserve">the </w:t>
      </w:r>
      <w:r w:rsidRPr="00875208">
        <w:rPr>
          <w:sz w:val="24"/>
          <w:szCs w:val="24"/>
        </w:rPr>
        <w:t xml:space="preserve">case of hand-deliveries, the deadline for receipt is at </w:t>
      </w:r>
      <w:r w:rsidR="004E245A" w:rsidRPr="007B4294">
        <w:rPr>
          <w:sz w:val="24"/>
          <w:szCs w:val="24"/>
        </w:rPr>
        <w:t>15:00 hours local time</w:t>
      </w:r>
      <w:r w:rsidR="004E7C95">
        <w:rPr>
          <w:sz w:val="24"/>
          <w:szCs w:val="24"/>
        </w:rPr>
        <w:t xml:space="preserve"> </w:t>
      </w:r>
      <w:r w:rsidRPr="00875208">
        <w:rPr>
          <w:sz w:val="24"/>
          <w:szCs w:val="24"/>
        </w:rPr>
        <w:t>as evidenced by the signed and dated receipt.</w:t>
      </w:r>
      <w:r w:rsidR="00C91345">
        <w:rPr>
          <w:sz w:val="24"/>
          <w:szCs w:val="24"/>
        </w:rPr>
        <w:t xml:space="preserve"> </w:t>
      </w:r>
      <w:r w:rsidRPr="00875208">
        <w:rPr>
          <w:sz w:val="24"/>
          <w:szCs w:val="24"/>
        </w:rPr>
        <w:t xml:space="preserve">Any </w:t>
      </w:r>
      <w:r w:rsidR="00045E79" w:rsidRPr="00875208">
        <w:rPr>
          <w:sz w:val="24"/>
          <w:szCs w:val="24"/>
        </w:rPr>
        <w:t>Concept Note</w:t>
      </w:r>
      <w:r w:rsidRPr="00875208">
        <w:rPr>
          <w:sz w:val="24"/>
          <w:szCs w:val="24"/>
        </w:rPr>
        <w:t xml:space="preserve"> submitted after the deadline will be rejected.</w:t>
      </w:r>
    </w:p>
    <w:p w:rsidR="00B41A93" w:rsidRDefault="00B41A93" w:rsidP="0068216F">
      <w:pPr>
        <w:rPr>
          <w:sz w:val="24"/>
          <w:szCs w:val="24"/>
          <w:lang w:bidi="kn-IN"/>
        </w:rPr>
      </w:pPr>
      <w:r w:rsidRPr="00875208">
        <w:rPr>
          <w:rStyle w:val="Style11pt"/>
          <w:sz w:val="24"/>
          <w:szCs w:val="24"/>
        </w:rPr>
        <w:t>However, for reasons of administrative efficiency, t</w:t>
      </w:r>
      <w:r w:rsidRPr="00875208">
        <w:rPr>
          <w:sz w:val="24"/>
          <w:szCs w:val="24"/>
          <w:lang w:eastAsia="en-GB" w:bidi="kn-IN"/>
        </w:rPr>
        <w:t xml:space="preserve">he Contracting Authority </w:t>
      </w:r>
      <w:r w:rsidRPr="00875208">
        <w:rPr>
          <w:sz w:val="24"/>
          <w:szCs w:val="24"/>
          <w:lang w:bidi="kn-IN"/>
        </w:rPr>
        <w:t>may</w:t>
      </w:r>
      <w:r w:rsidRPr="00875208">
        <w:rPr>
          <w:sz w:val="24"/>
          <w:szCs w:val="24"/>
          <w:lang w:eastAsia="en-GB" w:bidi="kn-IN"/>
        </w:rPr>
        <w:t xml:space="preserve"> reject any </w:t>
      </w:r>
      <w:r w:rsidR="00DE52E6" w:rsidRPr="00875208">
        <w:rPr>
          <w:sz w:val="24"/>
          <w:szCs w:val="24"/>
          <w:lang w:bidi="kn-IN"/>
        </w:rPr>
        <w:t>Concept Note</w:t>
      </w:r>
      <w:r w:rsidR="005B3347">
        <w:rPr>
          <w:sz w:val="24"/>
          <w:szCs w:val="24"/>
          <w:lang w:bidi="kn-IN"/>
        </w:rPr>
        <w:t xml:space="preserve"> </w:t>
      </w:r>
      <w:r w:rsidR="009001C1" w:rsidRPr="00875208">
        <w:rPr>
          <w:sz w:val="24"/>
          <w:szCs w:val="24"/>
          <w:lang w:eastAsia="en-GB" w:bidi="kn-IN"/>
        </w:rPr>
        <w:t xml:space="preserve">sent in due time but </w:t>
      </w:r>
      <w:r w:rsidRPr="00875208">
        <w:rPr>
          <w:sz w:val="24"/>
          <w:szCs w:val="24"/>
          <w:lang w:eastAsia="en-GB" w:bidi="kn-IN"/>
        </w:rPr>
        <w:t xml:space="preserve">received after the effective date of </w:t>
      </w:r>
      <w:r w:rsidRPr="00875208">
        <w:rPr>
          <w:sz w:val="24"/>
          <w:szCs w:val="24"/>
          <w:lang w:bidi="kn-IN"/>
        </w:rPr>
        <w:t>approval</w:t>
      </w:r>
      <w:r w:rsidRPr="00875208">
        <w:rPr>
          <w:sz w:val="24"/>
          <w:szCs w:val="24"/>
          <w:lang w:eastAsia="en-GB" w:bidi="kn-IN"/>
        </w:rPr>
        <w:t xml:space="preserve"> of the</w:t>
      </w:r>
      <w:r w:rsidR="005B3347">
        <w:rPr>
          <w:sz w:val="24"/>
          <w:szCs w:val="24"/>
          <w:lang w:eastAsia="en-GB" w:bidi="kn-IN"/>
        </w:rPr>
        <w:t xml:space="preserve"> </w:t>
      </w:r>
      <w:r w:rsidR="00DE52E6" w:rsidRPr="00875208">
        <w:rPr>
          <w:sz w:val="24"/>
          <w:szCs w:val="24"/>
          <w:lang w:bidi="kn-IN"/>
        </w:rPr>
        <w:t xml:space="preserve">Concept </w:t>
      </w:r>
      <w:r w:rsidR="002A0BA0" w:rsidRPr="00875208">
        <w:rPr>
          <w:sz w:val="24"/>
          <w:szCs w:val="24"/>
          <w:lang w:bidi="kn-IN"/>
        </w:rPr>
        <w:t>N</w:t>
      </w:r>
      <w:r w:rsidR="00DE52E6" w:rsidRPr="00875208">
        <w:rPr>
          <w:sz w:val="24"/>
          <w:szCs w:val="24"/>
          <w:lang w:bidi="kn-IN"/>
        </w:rPr>
        <w:t>ote evaluation (s</w:t>
      </w:r>
      <w:r w:rsidR="00175DE7" w:rsidRPr="00875208">
        <w:rPr>
          <w:sz w:val="24"/>
          <w:szCs w:val="24"/>
          <w:lang w:bidi="kn-IN"/>
        </w:rPr>
        <w:t>ee indicative c</w:t>
      </w:r>
      <w:r w:rsidRPr="00875208">
        <w:rPr>
          <w:sz w:val="24"/>
          <w:szCs w:val="24"/>
          <w:lang w:bidi="kn-IN"/>
        </w:rPr>
        <w:t>alendar under section 2.5.2)</w:t>
      </w:r>
      <w:r w:rsidR="00466B53">
        <w:rPr>
          <w:sz w:val="24"/>
          <w:szCs w:val="24"/>
          <w:lang w:bidi="kn-IN"/>
        </w:rPr>
        <w:t>.</w:t>
      </w:r>
      <w:r w:rsidRPr="00875208">
        <w:rPr>
          <w:sz w:val="24"/>
          <w:szCs w:val="24"/>
          <w:lang w:bidi="kn-IN"/>
        </w:rPr>
        <w:t xml:space="preserve"> </w:t>
      </w:r>
    </w:p>
    <w:p w:rsidR="00241895" w:rsidRDefault="00241895" w:rsidP="0068216F">
      <w:pPr>
        <w:rPr>
          <w:sz w:val="24"/>
          <w:szCs w:val="24"/>
        </w:rPr>
      </w:pPr>
    </w:p>
    <w:p w:rsidR="00414D93" w:rsidRDefault="00414D93" w:rsidP="0068216F">
      <w:pPr>
        <w:rPr>
          <w:sz w:val="24"/>
          <w:szCs w:val="24"/>
        </w:rPr>
      </w:pPr>
    </w:p>
    <w:p w:rsidR="00414D93" w:rsidRPr="00875208" w:rsidRDefault="00414D93" w:rsidP="0068216F">
      <w:pPr>
        <w:rPr>
          <w:sz w:val="24"/>
          <w:szCs w:val="24"/>
        </w:rPr>
      </w:pPr>
    </w:p>
    <w:p w:rsidR="008B4806" w:rsidRPr="00875208" w:rsidRDefault="008B4806" w:rsidP="008A0215">
      <w:pPr>
        <w:pStyle w:val="Guidelines3"/>
        <w:pBdr>
          <w:left w:val="single" w:sz="4" w:space="7" w:color="auto"/>
        </w:pBdr>
        <w:rPr>
          <w:szCs w:val="24"/>
        </w:rPr>
      </w:pPr>
      <w:bookmarkStart w:id="27" w:name="_Toc125454355"/>
      <w:bookmarkStart w:id="28" w:name="_Toc384374709"/>
      <w:r w:rsidRPr="00875208">
        <w:rPr>
          <w:szCs w:val="24"/>
        </w:rPr>
        <w:t>Further information</w:t>
      </w:r>
      <w:bookmarkEnd w:id="27"/>
      <w:r w:rsidR="00F16D05">
        <w:rPr>
          <w:szCs w:val="24"/>
        </w:rPr>
        <w:t xml:space="preserve"> </w:t>
      </w:r>
      <w:r w:rsidR="00E3173F" w:rsidRPr="00875208">
        <w:rPr>
          <w:szCs w:val="24"/>
        </w:rPr>
        <w:t xml:space="preserve">about </w:t>
      </w:r>
      <w:r w:rsidR="00E64637" w:rsidRPr="00875208">
        <w:rPr>
          <w:szCs w:val="24"/>
        </w:rPr>
        <w:t>C</w:t>
      </w:r>
      <w:r w:rsidR="00CF7BEF" w:rsidRPr="00875208">
        <w:rPr>
          <w:szCs w:val="24"/>
        </w:rPr>
        <w:t xml:space="preserve">oncept </w:t>
      </w:r>
      <w:r w:rsidR="00E64637" w:rsidRPr="00875208">
        <w:rPr>
          <w:szCs w:val="24"/>
        </w:rPr>
        <w:t>N</w:t>
      </w:r>
      <w:r w:rsidR="00CF7BEF" w:rsidRPr="00875208">
        <w:rPr>
          <w:szCs w:val="24"/>
        </w:rPr>
        <w:t>ote</w:t>
      </w:r>
      <w:r w:rsidR="00CB6E77" w:rsidRPr="00875208">
        <w:rPr>
          <w:szCs w:val="24"/>
        </w:rPr>
        <w:t>s</w:t>
      </w:r>
      <w:bookmarkEnd w:id="28"/>
    </w:p>
    <w:p w:rsidR="008B4806" w:rsidRPr="00370984" w:rsidRDefault="00D571BD" w:rsidP="00D571BD">
      <w:pPr>
        <w:spacing w:before="240"/>
        <w:rPr>
          <w:sz w:val="24"/>
          <w:szCs w:val="24"/>
        </w:rPr>
      </w:pPr>
      <w:r w:rsidRPr="00D571BD">
        <w:rPr>
          <w:sz w:val="24"/>
          <w:szCs w:val="24"/>
        </w:rPr>
        <w:t>An information session on this Call for Proposals will be held at least 21 day before the deadline for submission of Concept Note</w:t>
      </w:r>
      <w:r>
        <w:rPr>
          <w:sz w:val="24"/>
          <w:szCs w:val="24"/>
        </w:rPr>
        <w:t xml:space="preserve">s. </w:t>
      </w:r>
      <w:r w:rsidRPr="00D571BD">
        <w:rPr>
          <w:sz w:val="24"/>
          <w:szCs w:val="24"/>
        </w:rPr>
        <w:t xml:space="preserve">The date, venue and the schedule of the information sessions on this call for proposals will be published at a later date at the following websites </w:t>
      </w:r>
      <w:hyperlink r:id="rId14" w:history="1">
        <w:r w:rsidR="00191755" w:rsidRPr="00FF484E">
          <w:rPr>
            <w:rStyle w:val="Hyperlink"/>
            <w:sz w:val="24"/>
            <w:szCs w:val="24"/>
          </w:rPr>
          <w:t>www.cfcu.gov.rs</w:t>
        </w:r>
      </w:hyperlink>
      <w:r w:rsidR="00191755">
        <w:rPr>
          <w:sz w:val="24"/>
          <w:szCs w:val="24"/>
        </w:rPr>
        <w:t xml:space="preserve"> </w:t>
      </w:r>
      <w:r w:rsidRPr="00D571BD">
        <w:rPr>
          <w:sz w:val="24"/>
          <w:szCs w:val="24"/>
        </w:rPr>
        <w:t xml:space="preserve">and </w:t>
      </w:r>
      <w:hyperlink r:id="rId15" w:history="1">
        <w:r w:rsidR="00191755" w:rsidRPr="00FF484E">
          <w:rPr>
            <w:rStyle w:val="Hyperlink"/>
            <w:sz w:val="24"/>
            <w:szCs w:val="24"/>
          </w:rPr>
          <w:t>https://webgate.ec.europa.eu/europeaid/online-services/index.cfm?do=publi.welcome</w:t>
        </w:r>
      </w:hyperlink>
      <w:r w:rsidR="00F408EA">
        <w:rPr>
          <w:sz w:val="24"/>
          <w:szCs w:val="24"/>
        </w:rPr>
        <w:t>.</w:t>
      </w:r>
    </w:p>
    <w:p w:rsidR="008B4806" w:rsidRPr="00875208" w:rsidRDefault="008B4806" w:rsidP="0068216F">
      <w:pPr>
        <w:rPr>
          <w:sz w:val="24"/>
          <w:szCs w:val="24"/>
        </w:rPr>
      </w:pPr>
      <w:r w:rsidRPr="00875208">
        <w:rPr>
          <w:sz w:val="24"/>
          <w:szCs w:val="24"/>
        </w:rPr>
        <w:t xml:space="preserve">Questions may be sent by e-mail no later than 21 days before the deadline for the </w:t>
      </w:r>
      <w:r w:rsidR="00934768" w:rsidRPr="00875208">
        <w:rPr>
          <w:sz w:val="24"/>
          <w:szCs w:val="24"/>
        </w:rPr>
        <w:t>submission</w:t>
      </w:r>
      <w:r w:rsidRPr="00875208">
        <w:rPr>
          <w:sz w:val="24"/>
          <w:szCs w:val="24"/>
        </w:rPr>
        <w:t xml:space="preserve"> of </w:t>
      </w:r>
      <w:r w:rsidR="005C0C4D" w:rsidRPr="00875208">
        <w:rPr>
          <w:sz w:val="24"/>
          <w:szCs w:val="24"/>
        </w:rPr>
        <w:t>C</w:t>
      </w:r>
      <w:r w:rsidRPr="00875208">
        <w:rPr>
          <w:sz w:val="24"/>
          <w:szCs w:val="24"/>
        </w:rPr>
        <w:t xml:space="preserve">oncept </w:t>
      </w:r>
      <w:r w:rsidR="005C0C4D" w:rsidRPr="00875208">
        <w:rPr>
          <w:sz w:val="24"/>
          <w:szCs w:val="24"/>
        </w:rPr>
        <w:t>N</w:t>
      </w:r>
      <w:r w:rsidRPr="00875208">
        <w:rPr>
          <w:sz w:val="24"/>
          <w:szCs w:val="24"/>
        </w:rPr>
        <w:t>otes to the address(es)</w:t>
      </w:r>
      <w:r w:rsidR="00023576" w:rsidRPr="00875208">
        <w:rPr>
          <w:sz w:val="24"/>
          <w:szCs w:val="24"/>
        </w:rPr>
        <w:t xml:space="preserve"> below</w:t>
      </w:r>
      <w:r w:rsidRPr="00875208">
        <w:rPr>
          <w:sz w:val="24"/>
          <w:szCs w:val="24"/>
        </w:rPr>
        <w:t xml:space="preserve">, indicating clearly the reference of the </w:t>
      </w:r>
      <w:r w:rsidR="001D0C7B" w:rsidRPr="00875208">
        <w:rPr>
          <w:sz w:val="24"/>
          <w:szCs w:val="24"/>
        </w:rPr>
        <w:t>Call for Proposals</w:t>
      </w:r>
      <w:r w:rsidRPr="00875208">
        <w:rPr>
          <w:sz w:val="24"/>
          <w:szCs w:val="24"/>
        </w:rPr>
        <w:t>:</w:t>
      </w:r>
    </w:p>
    <w:p w:rsidR="008B4806" w:rsidRPr="00875208" w:rsidRDefault="008B4806" w:rsidP="0068216F">
      <w:pPr>
        <w:ind w:left="567"/>
        <w:rPr>
          <w:sz w:val="24"/>
          <w:szCs w:val="24"/>
          <w:highlight w:val="yellow"/>
        </w:rPr>
      </w:pPr>
      <w:r w:rsidRPr="00C263CF">
        <w:rPr>
          <w:sz w:val="24"/>
          <w:szCs w:val="24"/>
        </w:rPr>
        <w:t xml:space="preserve">E-mail address: </w:t>
      </w:r>
      <w:hyperlink r:id="rId16" w:history="1">
        <w:r w:rsidR="009652CB" w:rsidRPr="00875208">
          <w:rPr>
            <w:rStyle w:val="Hyperlink"/>
            <w:sz w:val="24"/>
            <w:szCs w:val="24"/>
          </w:rPr>
          <w:t>cfcu.questions@mfin.gov.rs</w:t>
        </w:r>
      </w:hyperlink>
    </w:p>
    <w:p w:rsidR="002128D0" w:rsidRPr="00875208" w:rsidRDefault="002128D0" w:rsidP="0068216F">
      <w:pPr>
        <w:rPr>
          <w:sz w:val="24"/>
          <w:szCs w:val="24"/>
        </w:rPr>
      </w:pPr>
      <w:r w:rsidRPr="00875208">
        <w:rPr>
          <w:sz w:val="24"/>
          <w:szCs w:val="24"/>
        </w:rPr>
        <w:t>The Contracting Authority has no obligation to provide clarifications</w:t>
      </w:r>
      <w:r w:rsidR="007C4720" w:rsidRPr="00875208">
        <w:rPr>
          <w:sz w:val="24"/>
          <w:szCs w:val="24"/>
        </w:rPr>
        <w:t xml:space="preserve"> to questions received </w:t>
      </w:r>
      <w:r w:rsidRPr="00875208">
        <w:rPr>
          <w:sz w:val="24"/>
          <w:szCs w:val="24"/>
        </w:rPr>
        <w:t>after this date.</w:t>
      </w:r>
    </w:p>
    <w:p w:rsidR="008B4806" w:rsidRPr="00875208" w:rsidRDefault="008B4806" w:rsidP="0068216F">
      <w:pPr>
        <w:rPr>
          <w:sz w:val="24"/>
          <w:szCs w:val="24"/>
        </w:rPr>
      </w:pPr>
      <w:r w:rsidRPr="00875208">
        <w:rPr>
          <w:sz w:val="24"/>
          <w:szCs w:val="24"/>
        </w:rPr>
        <w:t xml:space="preserve">Replies will be given no later than 11 days before the deadline for </w:t>
      </w:r>
      <w:r w:rsidR="00CA6D19" w:rsidRPr="00875208">
        <w:rPr>
          <w:sz w:val="24"/>
          <w:szCs w:val="24"/>
        </w:rPr>
        <w:t xml:space="preserve">submission </w:t>
      </w:r>
      <w:r w:rsidRPr="00875208">
        <w:rPr>
          <w:sz w:val="24"/>
          <w:szCs w:val="24"/>
        </w:rPr>
        <w:t xml:space="preserve">of </w:t>
      </w:r>
      <w:r w:rsidR="00023576" w:rsidRPr="00875208">
        <w:rPr>
          <w:sz w:val="24"/>
          <w:szCs w:val="24"/>
        </w:rPr>
        <w:t>C</w:t>
      </w:r>
      <w:r w:rsidRPr="00875208">
        <w:rPr>
          <w:sz w:val="24"/>
          <w:szCs w:val="24"/>
        </w:rPr>
        <w:t xml:space="preserve">oncept </w:t>
      </w:r>
      <w:r w:rsidR="00023576" w:rsidRPr="00875208">
        <w:rPr>
          <w:sz w:val="24"/>
          <w:szCs w:val="24"/>
        </w:rPr>
        <w:t>N</w:t>
      </w:r>
      <w:r w:rsidRPr="00875208">
        <w:rPr>
          <w:sz w:val="24"/>
          <w:szCs w:val="24"/>
        </w:rPr>
        <w:t xml:space="preserve">otes. </w:t>
      </w:r>
    </w:p>
    <w:p w:rsidR="008B4806" w:rsidRPr="00875208" w:rsidRDefault="00023576" w:rsidP="0068216F">
      <w:pPr>
        <w:rPr>
          <w:sz w:val="24"/>
          <w:szCs w:val="24"/>
        </w:rPr>
      </w:pPr>
      <w:r w:rsidRPr="00875208">
        <w:rPr>
          <w:sz w:val="24"/>
          <w:szCs w:val="24"/>
        </w:rPr>
        <w:t>To ensure</w:t>
      </w:r>
      <w:r w:rsidR="008B4806" w:rsidRPr="00875208">
        <w:rPr>
          <w:sz w:val="24"/>
          <w:szCs w:val="24"/>
        </w:rPr>
        <w:t xml:space="preserve"> equal treatment of applicants, the Contracting Authority cannot give a prior opinion on the eligibility of applicant</w:t>
      </w:r>
      <w:r w:rsidR="009901E5" w:rsidRPr="00875208">
        <w:rPr>
          <w:sz w:val="24"/>
          <w:szCs w:val="24"/>
        </w:rPr>
        <w:t>s</w:t>
      </w:r>
      <w:r w:rsidR="008B4806" w:rsidRPr="00875208">
        <w:rPr>
          <w:sz w:val="24"/>
          <w:szCs w:val="24"/>
        </w:rPr>
        <w:t xml:space="preserve">, </w:t>
      </w:r>
      <w:r w:rsidR="009901E5" w:rsidRPr="00875208">
        <w:rPr>
          <w:sz w:val="24"/>
          <w:szCs w:val="24"/>
        </w:rPr>
        <w:t>affiliated entity(ies)</w:t>
      </w:r>
      <w:r w:rsidR="008B12C7" w:rsidRPr="00875208">
        <w:rPr>
          <w:sz w:val="24"/>
          <w:szCs w:val="24"/>
        </w:rPr>
        <w:t>,</w:t>
      </w:r>
      <w:r w:rsidR="0068216F" w:rsidRPr="00875208">
        <w:rPr>
          <w:sz w:val="24"/>
          <w:szCs w:val="24"/>
        </w:rPr>
        <w:t>an</w:t>
      </w:r>
      <w:r w:rsidR="008B4806" w:rsidRPr="00875208">
        <w:rPr>
          <w:sz w:val="24"/>
          <w:szCs w:val="24"/>
        </w:rPr>
        <w:t xml:space="preserve"> action</w:t>
      </w:r>
      <w:r w:rsidR="008B12C7" w:rsidRPr="00875208">
        <w:rPr>
          <w:sz w:val="24"/>
          <w:szCs w:val="24"/>
        </w:rPr>
        <w:t xml:space="preserve"> or specific activities</w:t>
      </w:r>
      <w:r w:rsidR="008B4806" w:rsidRPr="00875208">
        <w:rPr>
          <w:sz w:val="24"/>
          <w:szCs w:val="24"/>
        </w:rPr>
        <w:t>.</w:t>
      </w:r>
    </w:p>
    <w:p w:rsidR="002128D0" w:rsidRPr="00875208" w:rsidRDefault="008B4806" w:rsidP="0068216F">
      <w:pPr>
        <w:rPr>
          <w:sz w:val="24"/>
          <w:szCs w:val="24"/>
        </w:rPr>
      </w:pPr>
      <w:r w:rsidRPr="00875208">
        <w:rPr>
          <w:sz w:val="24"/>
          <w:szCs w:val="24"/>
        </w:rPr>
        <w:t>Questions that may be relevant to other applicants, together with answers</w:t>
      </w:r>
      <w:r w:rsidR="00F16D05">
        <w:rPr>
          <w:sz w:val="24"/>
          <w:szCs w:val="24"/>
        </w:rPr>
        <w:t xml:space="preserve"> </w:t>
      </w:r>
      <w:r w:rsidR="00023576" w:rsidRPr="00875208">
        <w:rPr>
          <w:sz w:val="24"/>
          <w:szCs w:val="24"/>
        </w:rPr>
        <w:t>and</w:t>
      </w:r>
      <w:r w:rsidR="001A3322" w:rsidRPr="00875208">
        <w:rPr>
          <w:sz w:val="24"/>
          <w:szCs w:val="24"/>
        </w:rPr>
        <w:t xml:space="preserve"> other important notices </w:t>
      </w:r>
      <w:r w:rsidR="005649CD" w:rsidRPr="00875208">
        <w:rPr>
          <w:sz w:val="24"/>
          <w:szCs w:val="24"/>
        </w:rPr>
        <w:t>in</w:t>
      </w:r>
      <w:r w:rsidR="001A3322" w:rsidRPr="00875208">
        <w:rPr>
          <w:sz w:val="24"/>
          <w:szCs w:val="24"/>
        </w:rPr>
        <w:t xml:space="preserve"> the course of the evaluation procedure</w:t>
      </w:r>
      <w:r w:rsidRPr="00875208">
        <w:rPr>
          <w:sz w:val="24"/>
          <w:szCs w:val="24"/>
        </w:rPr>
        <w:t>,</w:t>
      </w:r>
      <w:r w:rsidR="00F16D05">
        <w:rPr>
          <w:sz w:val="24"/>
          <w:szCs w:val="24"/>
        </w:rPr>
        <w:t xml:space="preserve"> </w:t>
      </w:r>
      <w:r w:rsidR="005649CD" w:rsidRPr="00875208">
        <w:rPr>
          <w:sz w:val="24"/>
          <w:szCs w:val="24"/>
        </w:rPr>
        <w:t xml:space="preserve">will </w:t>
      </w:r>
      <w:r w:rsidRPr="00875208">
        <w:rPr>
          <w:sz w:val="24"/>
          <w:szCs w:val="24"/>
        </w:rPr>
        <w:t xml:space="preserve">be published on the </w:t>
      </w:r>
      <w:r w:rsidR="003956DF" w:rsidRPr="00875208">
        <w:rPr>
          <w:sz w:val="24"/>
          <w:szCs w:val="24"/>
        </w:rPr>
        <w:t xml:space="preserve">EuropeAid website </w:t>
      </w:r>
      <w:hyperlink r:id="rId17" w:history="1">
        <w:r w:rsidR="00191755" w:rsidRPr="00FF484E">
          <w:rPr>
            <w:rStyle w:val="Hyperlink"/>
            <w:sz w:val="24"/>
            <w:szCs w:val="24"/>
          </w:rPr>
          <w:t>https://webgate.ec.europa.eu/europeaid/online-services/index.cfm?do=publi.welcome</w:t>
        </w:r>
      </w:hyperlink>
      <w:r w:rsidR="00736850" w:rsidRPr="00875208">
        <w:rPr>
          <w:sz w:val="24"/>
          <w:szCs w:val="24"/>
        </w:rPr>
        <w:t>,</w:t>
      </w:r>
      <w:r w:rsidR="003048CC">
        <w:rPr>
          <w:sz w:val="24"/>
          <w:szCs w:val="24"/>
        </w:rPr>
        <w:t xml:space="preserve"> on </w:t>
      </w:r>
      <w:r w:rsidR="00FF4B7F" w:rsidRPr="00875208">
        <w:rPr>
          <w:sz w:val="24"/>
          <w:szCs w:val="24"/>
        </w:rPr>
        <w:t xml:space="preserve">the website of the Contracting </w:t>
      </w:r>
      <w:r w:rsidR="005B7874" w:rsidRPr="00875208">
        <w:rPr>
          <w:sz w:val="24"/>
          <w:szCs w:val="24"/>
        </w:rPr>
        <w:t>Authority</w:t>
      </w:r>
      <w:r w:rsidR="00FF4B7F" w:rsidRPr="00875208">
        <w:rPr>
          <w:sz w:val="24"/>
          <w:szCs w:val="24"/>
        </w:rPr>
        <w:t xml:space="preserve"> in the Republic of Serbia: </w:t>
      </w:r>
      <w:hyperlink r:id="rId18" w:history="1">
        <w:r w:rsidR="001625AC" w:rsidRPr="00D0174C">
          <w:rPr>
            <w:rStyle w:val="Hyperlink"/>
            <w:sz w:val="24"/>
            <w:szCs w:val="24"/>
          </w:rPr>
          <w:t>www.cfcu.gov.rs</w:t>
        </w:r>
      </w:hyperlink>
      <w:r w:rsidR="001625AC">
        <w:rPr>
          <w:sz w:val="24"/>
          <w:szCs w:val="24"/>
        </w:rPr>
        <w:t xml:space="preserve"> </w:t>
      </w:r>
      <w:r w:rsidR="001A3322" w:rsidRPr="00875208">
        <w:rPr>
          <w:sz w:val="24"/>
          <w:szCs w:val="24"/>
        </w:rPr>
        <w:t>as the need arises</w:t>
      </w:r>
      <w:r w:rsidRPr="00875208">
        <w:rPr>
          <w:sz w:val="24"/>
          <w:szCs w:val="24"/>
        </w:rPr>
        <w:t>.</w:t>
      </w:r>
      <w:r w:rsidR="002128D0" w:rsidRPr="00875208">
        <w:rPr>
          <w:sz w:val="24"/>
          <w:szCs w:val="24"/>
        </w:rPr>
        <w:t xml:space="preserve"> It is therefore </w:t>
      </w:r>
      <w:r w:rsidR="005649CD" w:rsidRPr="00875208">
        <w:rPr>
          <w:sz w:val="24"/>
          <w:szCs w:val="24"/>
        </w:rPr>
        <w:t>advisable</w:t>
      </w:r>
      <w:r w:rsidR="002128D0" w:rsidRPr="00875208">
        <w:rPr>
          <w:sz w:val="24"/>
          <w:szCs w:val="24"/>
        </w:rPr>
        <w:t xml:space="preserve"> to consult the abovementioned website</w:t>
      </w:r>
      <w:r w:rsidR="005649CD" w:rsidRPr="00875208">
        <w:rPr>
          <w:sz w:val="24"/>
          <w:szCs w:val="24"/>
        </w:rPr>
        <w:t xml:space="preserve"> regularly</w:t>
      </w:r>
      <w:r w:rsidR="002128D0" w:rsidRPr="00875208">
        <w:rPr>
          <w:sz w:val="24"/>
          <w:szCs w:val="24"/>
        </w:rPr>
        <w:t xml:space="preserve"> in order to be informed of the questions and answers published.</w:t>
      </w:r>
    </w:p>
    <w:p w:rsidR="00CE5287" w:rsidRPr="00875208" w:rsidRDefault="00CE5287" w:rsidP="00CE5287">
      <w:pPr>
        <w:pStyle w:val="Guidelines3"/>
        <w:rPr>
          <w:szCs w:val="24"/>
        </w:rPr>
      </w:pPr>
      <w:r w:rsidRPr="00875208">
        <w:rPr>
          <w:szCs w:val="24"/>
        </w:rPr>
        <w:t>Full Application forms</w:t>
      </w:r>
    </w:p>
    <w:p w:rsidR="00CE5287" w:rsidRPr="00875208" w:rsidRDefault="00CE5287" w:rsidP="00CE5287">
      <w:pPr>
        <w:spacing w:before="240"/>
        <w:rPr>
          <w:color w:val="000000"/>
          <w:sz w:val="24"/>
          <w:szCs w:val="24"/>
        </w:rPr>
      </w:pPr>
      <w:r w:rsidRPr="00875208">
        <w:rPr>
          <w:sz w:val="24"/>
          <w:szCs w:val="24"/>
        </w:rPr>
        <w:t>An applicant invited to submit a full application form following pre-selection of their Concept Note must do so using Part B of the application form annexed to these Guidelines (Annex A). Applicants should then keep strictly to the format of the application form and fill in the paragraphs and pages in order.</w:t>
      </w:r>
    </w:p>
    <w:p w:rsidR="00CE5287" w:rsidRPr="00875208" w:rsidRDefault="00CE5287" w:rsidP="00CE5287">
      <w:pPr>
        <w:rPr>
          <w:color w:val="000000"/>
          <w:sz w:val="24"/>
          <w:szCs w:val="24"/>
        </w:rPr>
      </w:pPr>
      <w:r w:rsidRPr="00875208">
        <w:rPr>
          <w:color w:val="000000"/>
          <w:sz w:val="24"/>
          <w:szCs w:val="24"/>
        </w:rPr>
        <w:t>The elements outlined in the Concept Note cannot be modified by the applicant in the full application form.</w:t>
      </w:r>
      <w:r w:rsidR="00F16D05">
        <w:rPr>
          <w:color w:val="000000"/>
          <w:sz w:val="24"/>
          <w:szCs w:val="24"/>
        </w:rPr>
        <w:t xml:space="preserve"> </w:t>
      </w:r>
      <w:r w:rsidRPr="00875208">
        <w:rPr>
          <w:sz w:val="24"/>
          <w:szCs w:val="24"/>
        </w:rPr>
        <w:t>The EU contribution may not vary from the initial estimate by more than 20</w:t>
      </w:r>
      <w:r w:rsidRPr="00875208">
        <w:rPr>
          <w:w w:val="50"/>
          <w:sz w:val="24"/>
          <w:szCs w:val="24"/>
        </w:rPr>
        <w:t> </w:t>
      </w:r>
      <w:r w:rsidRPr="00875208">
        <w:rPr>
          <w:sz w:val="24"/>
          <w:szCs w:val="24"/>
        </w:rPr>
        <w:t>%, although applicants are free to adapt the percentage of co-financing required within the minimum and maximum amount and percentages of co-financing, as laid down in these Guidelines under section 1.3.</w:t>
      </w:r>
    </w:p>
    <w:p w:rsidR="00CE5287" w:rsidRPr="00875208" w:rsidRDefault="00CE5287" w:rsidP="00CE5287">
      <w:pPr>
        <w:rPr>
          <w:color w:val="000000"/>
          <w:sz w:val="24"/>
          <w:szCs w:val="24"/>
        </w:rPr>
      </w:pPr>
      <w:r w:rsidRPr="00875208">
        <w:rPr>
          <w:color w:val="000000"/>
          <w:sz w:val="24"/>
          <w:szCs w:val="24"/>
        </w:rPr>
        <w:t>Applicants must submit their full applications in the same language as their Concept Notes.</w:t>
      </w:r>
    </w:p>
    <w:p w:rsidR="00CE5287" w:rsidRPr="00875208" w:rsidRDefault="00CE5287" w:rsidP="00CE5287">
      <w:pPr>
        <w:rPr>
          <w:color w:val="000000"/>
          <w:sz w:val="24"/>
          <w:szCs w:val="24"/>
        </w:rPr>
      </w:pPr>
      <w:r w:rsidRPr="00875208">
        <w:rPr>
          <w:sz w:val="24"/>
          <w:szCs w:val="24"/>
        </w:rPr>
        <w:t>Please complete the full application form carefully and as clearly as possible so that it can be assessed properly.</w:t>
      </w:r>
    </w:p>
    <w:p w:rsidR="00CE5287" w:rsidRPr="00875208" w:rsidRDefault="00CE5287" w:rsidP="00CE5287">
      <w:pPr>
        <w:rPr>
          <w:color w:val="000000"/>
          <w:sz w:val="24"/>
          <w:szCs w:val="24"/>
        </w:rPr>
      </w:pPr>
      <w:r w:rsidRPr="00875208">
        <w:rPr>
          <w:color w:val="000000"/>
          <w:sz w:val="24"/>
          <w:szCs w:val="24"/>
        </w:rPr>
        <w:t>Any error related to the points listed in the Checklist (Part B, Section 7 of the Grant Application form) or any major inconsistency in the full application form (e.g. if the amounts in the budget worksheets are inconsistent) may lead to the rejection of the application.</w:t>
      </w:r>
    </w:p>
    <w:p w:rsidR="00CE5287" w:rsidRPr="00875208" w:rsidRDefault="00CE5287" w:rsidP="00CE5287">
      <w:pPr>
        <w:rPr>
          <w:sz w:val="24"/>
          <w:szCs w:val="24"/>
        </w:rPr>
      </w:pPr>
      <w:r w:rsidRPr="00875208">
        <w:rPr>
          <w:sz w:val="24"/>
          <w:szCs w:val="24"/>
        </w:rPr>
        <w:t>Clarifications will only be requested when information provided is unclear and thus prevents the Contracting Authority from conducting an objective assessment.</w:t>
      </w:r>
    </w:p>
    <w:p w:rsidR="00CE5287" w:rsidRPr="00875208" w:rsidRDefault="00CE5287" w:rsidP="00CE5287">
      <w:pPr>
        <w:rPr>
          <w:sz w:val="24"/>
          <w:szCs w:val="24"/>
        </w:rPr>
      </w:pPr>
      <w:r w:rsidRPr="00875208">
        <w:rPr>
          <w:sz w:val="24"/>
          <w:szCs w:val="24"/>
        </w:rPr>
        <w:lastRenderedPageBreak/>
        <w:t>Hand-written applications will not be accepted.</w:t>
      </w:r>
    </w:p>
    <w:p w:rsidR="00CE5287" w:rsidRDefault="00CE5287" w:rsidP="00CE5287">
      <w:pPr>
        <w:rPr>
          <w:b/>
          <w:snapToGrid/>
          <w:sz w:val="24"/>
          <w:szCs w:val="24"/>
          <w:lang w:eastAsia="en-GB"/>
        </w:rPr>
      </w:pPr>
      <w:r w:rsidRPr="00875208">
        <w:rPr>
          <w:snapToGrid/>
          <w:sz w:val="24"/>
          <w:szCs w:val="24"/>
          <w:lang w:eastAsia="en-GB"/>
        </w:rPr>
        <w:t>Please note that only the full application form and the published annexes which have to be filled in (budget, logical framework) will be transmitted to the evaluators (and assessors, if used). It is therefore of utmost importance that these documents contain ALL the relevant information concerning the action.</w:t>
      </w:r>
      <w:r w:rsidRPr="00875208">
        <w:rPr>
          <w:b/>
          <w:snapToGrid/>
          <w:sz w:val="24"/>
          <w:szCs w:val="24"/>
          <w:lang w:eastAsia="en-GB"/>
        </w:rPr>
        <w:t xml:space="preserve"> No supplementary annexes should be sent.</w:t>
      </w:r>
    </w:p>
    <w:p w:rsidR="00B749B7" w:rsidRPr="00875208" w:rsidRDefault="00B749B7" w:rsidP="00CE5287">
      <w:pPr>
        <w:rPr>
          <w:b/>
          <w:snapToGrid/>
          <w:sz w:val="24"/>
          <w:szCs w:val="24"/>
          <w:lang w:eastAsia="en-GB"/>
        </w:rPr>
      </w:pPr>
    </w:p>
    <w:p w:rsidR="00CE5287" w:rsidRPr="00875208" w:rsidRDefault="00CE5287" w:rsidP="00CE5287">
      <w:pPr>
        <w:pStyle w:val="Guidelines3"/>
        <w:ind w:left="851"/>
        <w:rPr>
          <w:szCs w:val="24"/>
        </w:rPr>
      </w:pPr>
      <w:bookmarkStart w:id="29" w:name="_Toc125454357"/>
      <w:bookmarkStart w:id="30" w:name="_Toc384374711"/>
      <w:r w:rsidRPr="00875208">
        <w:rPr>
          <w:szCs w:val="24"/>
        </w:rPr>
        <w:t>Where and how to send Full Application form</w:t>
      </w:r>
      <w:bookmarkEnd w:id="29"/>
      <w:r w:rsidRPr="00875208">
        <w:rPr>
          <w:szCs w:val="24"/>
        </w:rPr>
        <w:t>s</w:t>
      </w:r>
      <w:bookmarkEnd w:id="30"/>
    </w:p>
    <w:p w:rsidR="00CE5287" w:rsidRPr="00875208" w:rsidRDefault="00CE5287" w:rsidP="00CE5287">
      <w:pPr>
        <w:spacing w:before="240"/>
        <w:rPr>
          <w:sz w:val="24"/>
          <w:szCs w:val="24"/>
        </w:rPr>
      </w:pPr>
      <w:r w:rsidRPr="00875208">
        <w:rPr>
          <w:sz w:val="24"/>
          <w:szCs w:val="24"/>
        </w:rPr>
        <w:t>Applications must be submitted in a sealed envelope by registered mail, private courier service or by hand-delivery (a signed and dated certificate of receipt will be given to the deliverer) to the address below:</w:t>
      </w:r>
    </w:p>
    <w:p w:rsidR="007E4EE8" w:rsidRDefault="007E4EE8" w:rsidP="00CE5287">
      <w:pPr>
        <w:widowControl w:val="0"/>
        <w:tabs>
          <w:tab w:val="left" w:pos="720"/>
          <w:tab w:val="left" w:pos="4230"/>
        </w:tabs>
        <w:spacing w:after="0"/>
        <w:ind w:right="-68"/>
        <w:jc w:val="center"/>
        <w:rPr>
          <w:sz w:val="24"/>
          <w:szCs w:val="24"/>
        </w:rPr>
      </w:pPr>
    </w:p>
    <w:p w:rsidR="00CE5287" w:rsidRPr="00875208" w:rsidRDefault="00605B22" w:rsidP="00CE5287">
      <w:pPr>
        <w:widowControl w:val="0"/>
        <w:tabs>
          <w:tab w:val="left" w:pos="720"/>
          <w:tab w:val="left" w:pos="4230"/>
        </w:tabs>
        <w:spacing w:after="0"/>
        <w:ind w:right="-68"/>
        <w:jc w:val="center"/>
        <w:rPr>
          <w:sz w:val="24"/>
          <w:szCs w:val="24"/>
        </w:rPr>
      </w:pPr>
      <w:r>
        <w:rPr>
          <w:sz w:val="24"/>
          <w:szCs w:val="24"/>
        </w:rPr>
        <w:t xml:space="preserve">Ministry of Finance, </w:t>
      </w:r>
    </w:p>
    <w:p w:rsidR="00CE5287" w:rsidRDefault="00CE5287" w:rsidP="00CE5287">
      <w:pPr>
        <w:widowControl w:val="0"/>
        <w:spacing w:after="0"/>
        <w:ind w:right="-68"/>
        <w:jc w:val="center"/>
        <w:rPr>
          <w:sz w:val="24"/>
          <w:szCs w:val="24"/>
        </w:rPr>
      </w:pPr>
      <w:r w:rsidRPr="00875208">
        <w:rPr>
          <w:sz w:val="24"/>
          <w:szCs w:val="24"/>
        </w:rPr>
        <w:t>Department for Contracting and Financing of EU Funded Programmes (CFCU)</w:t>
      </w:r>
    </w:p>
    <w:p w:rsidR="00605B22" w:rsidRPr="00875208" w:rsidRDefault="00605B22" w:rsidP="00CE5287">
      <w:pPr>
        <w:widowControl w:val="0"/>
        <w:spacing w:after="0"/>
        <w:ind w:right="-68"/>
        <w:jc w:val="center"/>
        <w:rPr>
          <w:sz w:val="24"/>
          <w:szCs w:val="24"/>
        </w:rPr>
      </w:pPr>
      <w:r>
        <w:rPr>
          <w:sz w:val="24"/>
          <w:szCs w:val="24"/>
        </w:rPr>
        <w:t>Division for Evaluation and Contracting</w:t>
      </w:r>
    </w:p>
    <w:p w:rsidR="00CE5287" w:rsidRPr="00875208" w:rsidRDefault="00D0413D" w:rsidP="00CE5287">
      <w:pPr>
        <w:widowControl w:val="0"/>
        <w:spacing w:after="0"/>
        <w:ind w:right="-68"/>
        <w:jc w:val="center"/>
        <w:rPr>
          <w:noProof/>
          <w:sz w:val="24"/>
          <w:szCs w:val="24"/>
          <w:lang w:val="en-US"/>
        </w:rPr>
      </w:pPr>
      <w:r w:rsidRPr="00875208">
        <w:rPr>
          <w:noProof/>
          <w:sz w:val="24"/>
          <w:szCs w:val="24"/>
          <w:lang w:val="en-US"/>
        </w:rPr>
        <w:t>Sremska Str</w:t>
      </w:r>
      <w:r w:rsidR="00A83A87">
        <w:rPr>
          <w:noProof/>
          <w:sz w:val="24"/>
          <w:szCs w:val="24"/>
          <w:lang w:val="en-US"/>
        </w:rPr>
        <w:t>, 3-5</w:t>
      </w:r>
      <w:r w:rsidR="00A83A87" w:rsidRPr="00A83A87">
        <w:rPr>
          <w:noProof/>
          <w:sz w:val="24"/>
          <w:szCs w:val="24"/>
          <w:lang w:val="en-US"/>
        </w:rPr>
        <w:t>/ VII floor, Office 701</w:t>
      </w:r>
      <w:r w:rsidR="00CE5287" w:rsidRPr="00875208">
        <w:rPr>
          <w:noProof/>
          <w:sz w:val="24"/>
          <w:szCs w:val="24"/>
          <w:lang w:val="en-US"/>
        </w:rPr>
        <w:t>, Belgrade, 11000</w:t>
      </w:r>
    </w:p>
    <w:p w:rsidR="00CE5287" w:rsidRPr="00875208" w:rsidRDefault="00CE5287" w:rsidP="00CE5287">
      <w:pPr>
        <w:widowControl w:val="0"/>
        <w:spacing w:after="0"/>
        <w:ind w:right="-68"/>
        <w:jc w:val="center"/>
        <w:rPr>
          <w:sz w:val="24"/>
          <w:szCs w:val="24"/>
        </w:rPr>
      </w:pPr>
      <w:r w:rsidRPr="00875208">
        <w:rPr>
          <w:sz w:val="24"/>
          <w:szCs w:val="24"/>
        </w:rPr>
        <w:t>Republic of Serbia</w:t>
      </w:r>
    </w:p>
    <w:p w:rsidR="00CE5287" w:rsidRPr="00875208" w:rsidRDefault="00CE5287" w:rsidP="00CE5287">
      <w:pPr>
        <w:widowControl w:val="0"/>
        <w:spacing w:after="0"/>
        <w:ind w:right="-68"/>
        <w:jc w:val="center"/>
        <w:rPr>
          <w:b/>
          <w:sz w:val="24"/>
          <w:szCs w:val="24"/>
          <w:lang w:val="en-US"/>
        </w:rPr>
      </w:pPr>
    </w:p>
    <w:p w:rsidR="00CE5287" w:rsidRPr="00875208" w:rsidRDefault="00CE5287" w:rsidP="00CE5287">
      <w:pPr>
        <w:rPr>
          <w:color w:val="000000"/>
          <w:sz w:val="24"/>
          <w:szCs w:val="24"/>
        </w:rPr>
      </w:pPr>
      <w:r w:rsidRPr="00875208">
        <w:rPr>
          <w:color w:val="000000"/>
          <w:sz w:val="24"/>
          <w:szCs w:val="24"/>
        </w:rPr>
        <w:t>Applications sent by any other means (e.g. by fax or by e-mail) or delivered to other addresses will be rejected.</w:t>
      </w:r>
    </w:p>
    <w:p w:rsidR="00CE5287" w:rsidRPr="00875208" w:rsidRDefault="00CE5287" w:rsidP="00CE5287">
      <w:pPr>
        <w:rPr>
          <w:snapToGrid/>
          <w:sz w:val="24"/>
          <w:szCs w:val="24"/>
          <w:lang w:eastAsia="en-GB"/>
        </w:rPr>
      </w:pPr>
      <w:r w:rsidRPr="00875208">
        <w:rPr>
          <w:snapToGrid/>
          <w:sz w:val="24"/>
          <w:szCs w:val="24"/>
          <w:lang w:eastAsia="en-GB"/>
        </w:rPr>
        <w:t xml:space="preserve">Applications must be submitted in one original and two (2) copies in A4 size, each bound. The full application form, budget and logical framework must also be supplied in electronic format (CD-Rom) in a separate and single file (i.e. the full application form must not be split into several different files). </w:t>
      </w:r>
      <w:r w:rsidRPr="00875208">
        <w:rPr>
          <w:sz w:val="24"/>
          <w:szCs w:val="24"/>
        </w:rPr>
        <w:t xml:space="preserve">The electronic file must contain </w:t>
      </w:r>
      <w:r w:rsidRPr="00875208">
        <w:rPr>
          <w:b/>
          <w:sz w:val="24"/>
          <w:szCs w:val="24"/>
        </w:rPr>
        <w:t>exactly the same</w:t>
      </w:r>
      <w:r w:rsidRPr="00875208">
        <w:rPr>
          <w:sz w:val="24"/>
          <w:szCs w:val="24"/>
        </w:rPr>
        <w:t xml:space="preserve"> application as the paper version. </w:t>
      </w:r>
    </w:p>
    <w:p w:rsidR="00CE5287" w:rsidRPr="00875208" w:rsidRDefault="00CE5287" w:rsidP="00CE5287">
      <w:pPr>
        <w:rPr>
          <w:color w:val="000000"/>
          <w:sz w:val="24"/>
          <w:szCs w:val="24"/>
        </w:rPr>
      </w:pPr>
      <w:r w:rsidRPr="00875208">
        <w:rPr>
          <w:sz w:val="24"/>
          <w:szCs w:val="24"/>
        </w:rPr>
        <w:t>The Checklist (Section 7 of Part B of the grant application form) and the Declaration by the applicant (Section 8 of Part B of the grant application form) must be stapled separately and enclosed in the envelope</w:t>
      </w:r>
      <w:r w:rsidR="003048CC">
        <w:rPr>
          <w:sz w:val="24"/>
          <w:szCs w:val="24"/>
        </w:rPr>
        <w:t>.</w:t>
      </w:r>
    </w:p>
    <w:p w:rsidR="00CE5287" w:rsidRPr="00875208" w:rsidRDefault="00CE5287" w:rsidP="00CE5287">
      <w:pPr>
        <w:rPr>
          <w:sz w:val="24"/>
          <w:szCs w:val="24"/>
        </w:rPr>
      </w:pPr>
      <w:r w:rsidRPr="00875208">
        <w:rPr>
          <w:sz w:val="24"/>
          <w:szCs w:val="24"/>
        </w:rPr>
        <w:t>Where applicants send several different applications (if allowed to do so by the Guidelines of the Call), each one must be sent separately.</w:t>
      </w:r>
    </w:p>
    <w:p w:rsidR="00CE5287" w:rsidRPr="00875208" w:rsidRDefault="00CE5287" w:rsidP="00CE5287">
      <w:pPr>
        <w:rPr>
          <w:color w:val="000000"/>
          <w:sz w:val="24"/>
          <w:szCs w:val="24"/>
        </w:rPr>
      </w:pPr>
      <w:r w:rsidRPr="00875208">
        <w:rPr>
          <w:sz w:val="24"/>
          <w:szCs w:val="24"/>
        </w:rPr>
        <w:t xml:space="preserve">The outer envelope must bear the </w:t>
      </w:r>
      <w:r w:rsidRPr="00875208">
        <w:rPr>
          <w:b/>
          <w:sz w:val="24"/>
          <w:szCs w:val="24"/>
        </w:rPr>
        <w:t>reference number and the title of the Call for Proposals</w:t>
      </w:r>
      <w:r w:rsidRPr="00875208">
        <w:rPr>
          <w:sz w:val="24"/>
          <w:szCs w:val="24"/>
        </w:rPr>
        <w:t>, together with the number and title of the lot, the full name and address of the applicant, and the words ‘Not to be opened before the opening session’ and ‘NE OTVARATI PRE ZVANIČNOG OTVARANJA PRIJAVA</w:t>
      </w:r>
      <w:r w:rsidR="00605B22">
        <w:rPr>
          <w:sz w:val="24"/>
          <w:szCs w:val="24"/>
        </w:rPr>
        <w:t>”</w:t>
      </w:r>
      <w:r w:rsidRPr="00875208">
        <w:rPr>
          <w:sz w:val="24"/>
          <w:szCs w:val="24"/>
        </w:rPr>
        <w:t>.</w:t>
      </w:r>
    </w:p>
    <w:p w:rsidR="00CE5287" w:rsidRPr="00875208" w:rsidRDefault="00CE5287" w:rsidP="00CE5287">
      <w:pPr>
        <w:rPr>
          <w:b/>
          <w:sz w:val="24"/>
          <w:szCs w:val="24"/>
        </w:rPr>
      </w:pPr>
      <w:r w:rsidRPr="00875208">
        <w:rPr>
          <w:b/>
          <w:sz w:val="24"/>
          <w:szCs w:val="24"/>
        </w:rPr>
        <w:t>Applicants must verify that their application is complete using the checklist (Section 7 of Part B of the grant application form). Incomplete applications may be rejected.</w:t>
      </w:r>
    </w:p>
    <w:p w:rsidR="00CE5287" w:rsidRPr="00875208" w:rsidRDefault="00CE5287" w:rsidP="00CE5287">
      <w:pPr>
        <w:pStyle w:val="Guidelines3"/>
        <w:ind w:left="851"/>
        <w:rPr>
          <w:szCs w:val="24"/>
        </w:rPr>
      </w:pPr>
      <w:bookmarkStart w:id="31" w:name="_Toc125454358"/>
      <w:bookmarkStart w:id="32" w:name="_Toc384374712"/>
      <w:r w:rsidRPr="00875208">
        <w:rPr>
          <w:szCs w:val="24"/>
        </w:rPr>
        <w:t>Deadline for submission of Full Application form</w:t>
      </w:r>
      <w:bookmarkEnd w:id="31"/>
      <w:r w:rsidRPr="00875208">
        <w:rPr>
          <w:szCs w:val="24"/>
        </w:rPr>
        <w:t>s</w:t>
      </w:r>
      <w:bookmarkEnd w:id="32"/>
    </w:p>
    <w:p w:rsidR="00CE5287" w:rsidRPr="00875208" w:rsidRDefault="00CE5287" w:rsidP="00CE5287">
      <w:pPr>
        <w:spacing w:before="240"/>
        <w:rPr>
          <w:sz w:val="24"/>
          <w:szCs w:val="24"/>
        </w:rPr>
      </w:pPr>
      <w:r w:rsidRPr="00875208">
        <w:rPr>
          <w:sz w:val="24"/>
          <w:szCs w:val="24"/>
        </w:rPr>
        <w:t>The deadline for the submission of applications will be indicated in the letter sent to the applicants whose application has been pre-selected.</w:t>
      </w:r>
    </w:p>
    <w:p w:rsidR="00CE5287" w:rsidRDefault="00CE5287" w:rsidP="00CE5287">
      <w:pPr>
        <w:rPr>
          <w:sz w:val="24"/>
          <w:szCs w:val="24"/>
        </w:rPr>
      </w:pPr>
      <w:r w:rsidRPr="00875208">
        <w:rPr>
          <w:rStyle w:val="Style11pt"/>
          <w:sz w:val="24"/>
          <w:szCs w:val="24"/>
        </w:rPr>
        <w:t>However, for reasons of administrative efficiency, t</w:t>
      </w:r>
      <w:r w:rsidRPr="00875208">
        <w:rPr>
          <w:sz w:val="24"/>
          <w:szCs w:val="24"/>
          <w:lang w:eastAsia="en-GB" w:bidi="kn-IN"/>
        </w:rPr>
        <w:t xml:space="preserve">he Contracting Authority </w:t>
      </w:r>
      <w:r w:rsidRPr="00875208">
        <w:rPr>
          <w:sz w:val="24"/>
          <w:szCs w:val="24"/>
          <w:lang w:bidi="kn-IN"/>
        </w:rPr>
        <w:t>may</w:t>
      </w:r>
      <w:r w:rsidRPr="00875208">
        <w:rPr>
          <w:sz w:val="24"/>
          <w:szCs w:val="24"/>
          <w:lang w:eastAsia="en-GB" w:bidi="kn-IN"/>
        </w:rPr>
        <w:t xml:space="preserve"> reject any </w:t>
      </w:r>
      <w:r w:rsidRPr="00875208">
        <w:rPr>
          <w:sz w:val="24"/>
          <w:szCs w:val="24"/>
          <w:lang w:bidi="kn-IN"/>
        </w:rPr>
        <w:t>application</w:t>
      </w:r>
      <w:r w:rsidRPr="00875208">
        <w:rPr>
          <w:sz w:val="24"/>
          <w:szCs w:val="24"/>
          <w:lang w:eastAsia="en-GB" w:bidi="kn-IN"/>
        </w:rPr>
        <w:t xml:space="preserve"> sent in due time but received after the date of </w:t>
      </w:r>
      <w:r w:rsidRPr="00875208">
        <w:rPr>
          <w:sz w:val="24"/>
          <w:szCs w:val="24"/>
          <w:lang w:bidi="kn-IN"/>
        </w:rPr>
        <w:t>approval</w:t>
      </w:r>
      <w:r w:rsidRPr="00875208">
        <w:rPr>
          <w:sz w:val="24"/>
          <w:szCs w:val="24"/>
          <w:lang w:eastAsia="en-GB" w:bidi="kn-IN"/>
        </w:rPr>
        <w:t xml:space="preserve"> of the evaluation report for</w:t>
      </w:r>
      <w:r w:rsidRPr="00875208">
        <w:rPr>
          <w:sz w:val="24"/>
          <w:szCs w:val="24"/>
          <w:lang w:bidi="kn-IN"/>
        </w:rPr>
        <w:t xml:space="preserve"> full applications (see indicative calendar under Section 2.5.2</w:t>
      </w:r>
      <w:r w:rsidRPr="00875208">
        <w:rPr>
          <w:sz w:val="24"/>
          <w:szCs w:val="24"/>
        </w:rPr>
        <w:t>)</w:t>
      </w:r>
      <w:r w:rsidR="003048CC">
        <w:rPr>
          <w:sz w:val="24"/>
          <w:szCs w:val="24"/>
        </w:rPr>
        <w:t>.</w:t>
      </w:r>
      <w:r w:rsidRPr="00875208">
        <w:rPr>
          <w:sz w:val="24"/>
          <w:szCs w:val="24"/>
        </w:rPr>
        <w:t xml:space="preserve"> </w:t>
      </w:r>
    </w:p>
    <w:p w:rsidR="00942C65" w:rsidRDefault="00942C65" w:rsidP="00CE5287">
      <w:pPr>
        <w:rPr>
          <w:sz w:val="24"/>
          <w:szCs w:val="24"/>
        </w:rPr>
      </w:pPr>
    </w:p>
    <w:p w:rsidR="005B283D" w:rsidRDefault="005B283D" w:rsidP="00CE5287">
      <w:pPr>
        <w:rPr>
          <w:sz w:val="24"/>
          <w:szCs w:val="24"/>
        </w:rPr>
      </w:pPr>
    </w:p>
    <w:p w:rsidR="00166172" w:rsidRPr="00875208" w:rsidRDefault="00166172" w:rsidP="00CE5287">
      <w:pPr>
        <w:rPr>
          <w:sz w:val="24"/>
          <w:szCs w:val="24"/>
        </w:rPr>
      </w:pPr>
    </w:p>
    <w:p w:rsidR="00CE5287" w:rsidRPr="00875208" w:rsidRDefault="00CE5287" w:rsidP="00CE5287">
      <w:pPr>
        <w:pStyle w:val="Guidelines3"/>
        <w:ind w:left="851"/>
        <w:rPr>
          <w:szCs w:val="24"/>
        </w:rPr>
      </w:pPr>
      <w:bookmarkStart w:id="33" w:name="_Toc125454359"/>
      <w:bookmarkStart w:id="34" w:name="_Toc384374713"/>
      <w:r w:rsidRPr="00875208">
        <w:rPr>
          <w:szCs w:val="24"/>
        </w:rPr>
        <w:t>Further information about Full Application form</w:t>
      </w:r>
      <w:bookmarkEnd w:id="33"/>
      <w:r w:rsidRPr="00875208">
        <w:rPr>
          <w:szCs w:val="24"/>
        </w:rPr>
        <w:t>s</w:t>
      </w:r>
      <w:bookmarkEnd w:id="34"/>
    </w:p>
    <w:p w:rsidR="00CE5287" w:rsidRPr="00605B22" w:rsidRDefault="00CE5287" w:rsidP="00CE5287">
      <w:pPr>
        <w:spacing w:before="240"/>
        <w:rPr>
          <w:b/>
          <w:sz w:val="24"/>
          <w:szCs w:val="24"/>
        </w:rPr>
      </w:pPr>
      <w:r w:rsidRPr="00875208">
        <w:rPr>
          <w:sz w:val="24"/>
          <w:szCs w:val="24"/>
        </w:rPr>
        <w:t xml:space="preserve">Questions may be sent by e-mail no later than 21 days before the deadline for the submission of applications to the addresses listed below, </w:t>
      </w:r>
      <w:r w:rsidRPr="00605B22">
        <w:rPr>
          <w:b/>
          <w:sz w:val="24"/>
          <w:szCs w:val="24"/>
        </w:rPr>
        <w:t>indicating clearly the reference of the Call for Proposals:</w:t>
      </w:r>
    </w:p>
    <w:p w:rsidR="00CE5287" w:rsidRPr="00875208" w:rsidRDefault="00CE5287" w:rsidP="00CE5287">
      <w:pPr>
        <w:ind w:left="709"/>
        <w:rPr>
          <w:sz w:val="24"/>
          <w:szCs w:val="24"/>
          <w:highlight w:val="yellow"/>
        </w:rPr>
      </w:pPr>
      <w:r w:rsidRPr="00875208">
        <w:rPr>
          <w:sz w:val="24"/>
          <w:szCs w:val="24"/>
        </w:rPr>
        <w:t xml:space="preserve">E-mail address: </w:t>
      </w:r>
      <w:hyperlink r:id="rId19" w:history="1">
        <w:r w:rsidR="009652CB" w:rsidRPr="00875208">
          <w:rPr>
            <w:rStyle w:val="Hyperlink"/>
            <w:sz w:val="24"/>
            <w:szCs w:val="24"/>
          </w:rPr>
          <w:t>cfcu.questions@mfin.gov.rs</w:t>
        </w:r>
      </w:hyperlink>
    </w:p>
    <w:p w:rsidR="00CE5287" w:rsidRPr="00875208" w:rsidRDefault="00CE5287" w:rsidP="00CE5287">
      <w:pPr>
        <w:rPr>
          <w:sz w:val="24"/>
          <w:szCs w:val="24"/>
        </w:rPr>
      </w:pPr>
      <w:r w:rsidRPr="00875208">
        <w:rPr>
          <w:sz w:val="24"/>
          <w:szCs w:val="24"/>
        </w:rPr>
        <w:t>The Contracting Authority has no obligation to provide clarifications to questions received after this date.</w:t>
      </w:r>
    </w:p>
    <w:p w:rsidR="00CE5287" w:rsidRPr="00875208" w:rsidRDefault="00CE5287" w:rsidP="00CE5287">
      <w:pPr>
        <w:rPr>
          <w:sz w:val="24"/>
          <w:szCs w:val="24"/>
        </w:rPr>
      </w:pPr>
      <w:r w:rsidRPr="00875208">
        <w:rPr>
          <w:sz w:val="24"/>
          <w:szCs w:val="24"/>
        </w:rPr>
        <w:t xml:space="preserve">Replies will be given no later than 11 days before the deadline for the submission of applications. </w:t>
      </w:r>
    </w:p>
    <w:p w:rsidR="00CE5287" w:rsidRPr="00875208" w:rsidRDefault="00CE5287" w:rsidP="00CE5287">
      <w:pPr>
        <w:rPr>
          <w:sz w:val="24"/>
          <w:szCs w:val="24"/>
        </w:rPr>
      </w:pPr>
      <w:r w:rsidRPr="00875208">
        <w:rPr>
          <w:sz w:val="24"/>
          <w:szCs w:val="24"/>
        </w:rPr>
        <w:t>To ensure equal treatment of applicants, the Contracting Authority cannot give a prior opinion on the eligibility of applicants, affiliated entity(ies), or an action.</w:t>
      </w:r>
    </w:p>
    <w:p w:rsidR="00146972" w:rsidRPr="00875208" w:rsidRDefault="00CE5287" w:rsidP="0068216F">
      <w:pPr>
        <w:rPr>
          <w:sz w:val="24"/>
          <w:szCs w:val="24"/>
        </w:rPr>
      </w:pPr>
      <w:r w:rsidRPr="00875208">
        <w:rPr>
          <w:sz w:val="24"/>
          <w:szCs w:val="24"/>
        </w:rPr>
        <w:t xml:space="preserve">No individual replies will be given to questions.  All questions and answers as well as other important notices to applicants during the course of the evaluation procedure, will be published on the website </w:t>
      </w:r>
      <w:hyperlink r:id="rId20" w:history="1">
        <w:r w:rsidRPr="00875208">
          <w:rPr>
            <w:rStyle w:val="Hyperlink"/>
            <w:sz w:val="24"/>
            <w:szCs w:val="24"/>
          </w:rPr>
          <w:t>https://webgate.ec.europa.eu/europeaid/online-services/index.cfm?do=publi.welcome</w:t>
        </w:r>
      </w:hyperlink>
      <w:r w:rsidRPr="00875208">
        <w:rPr>
          <w:rStyle w:val="Hyperlink"/>
          <w:sz w:val="24"/>
          <w:szCs w:val="24"/>
        </w:rPr>
        <w:t xml:space="preserve"> and</w:t>
      </w:r>
      <w:r w:rsidRPr="00875208">
        <w:rPr>
          <w:sz w:val="24"/>
          <w:szCs w:val="24"/>
        </w:rPr>
        <w:t xml:space="preserve"> on the website of the Contracting </w:t>
      </w:r>
      <w:r w:rsidR="003048CC" w:rsidRPr="00875208">
        <w:rPr>
          <w:sz w:val="24"/>
          <w:szCs w:val="24"/>
        </w:rPr>
        <w:t>Authority</w:t>
      </w:r>
      <w:r w:rsidRPr="00875208">
        <w:rPr>
          <w:sz w:val="24"/>
          <w:szCs w:val="24"/>
        </w:rPr>
        <w:t xml:space="preserve"> in the Republic of Serbia: www.cfcu.gov.rs. It is therefore advisable to consult the abovementioned website regularly in order to be informed of the q</w:t>
      </w:r>
      <w:r w:rsidR="004A6B7D">
        <w:rPr>
          <w:sz w:val="24"/>
          <w:szCs w:val="24"/>
        </w:rPr>
        <w:t>uestions and answers published.</w:t>
      </w:r>
    </w:p>
    <w:p w:rsidR="0007408E" w:rsidRPr="00875208" w:rsidRDefault="0007408E" w:rsidP="004741A1">
      <w:pPr>
        <w:pStyle w:val="Guidelines2"/>
        <w:rPr>
          <w:rFonts w:ascii="Times New Roman" w:hAnsi="Times New Roman"/>
          <w:i/>
          <w:szCs w:val="24"/>
        </w:rPr>
      </w:pPr>
      <w:bookmarkStart w:id="35" w:name="_Toc40507653"/>
      <w:bookmarkStart w:id="36" w:name="_Toc384374718"/>
      <w:r w:rsidRPr="00875208">
        <w:rPr>
          <w:rFonts w:ascii="Times New Roman" w:hAnsi="Times New Roman"/>
          <w:szCs w:val="24"/>
        </w:rPr>
        <w:t>Evaluation and selection of applications</w:t>
      </w:r>
      <w:bookmarkEnd w:id="35"/>
      <w:bookmarkEnd w:id="36"/>
    </w:p>
    <w:p w:rsidR="0007408E" w:rsidRPr="00875208" w:rsidRDefault="0007408E" w:rsidP="00203ABF">
      <w:pPr>
        <w:rPr>
          <w:sz w:val="24"/>
          <w:szCs w:val="24"/>
        </w:rPr>
      </w:pPr>
      <w:r w:rsidRPr="00875208">
        <w:rPr>
          <w:sz w:val="24"/>
          <w:szCs w:val="24"/>
        </w:rPr>
        <w:t xml:space="preserve">Applications will be examined and evaluated by the </w:t>
      </w:r>
      <w:r w:rsidR="009D3054" w:rsidRPr="00875208">
        <w:rPr>
          <w:sz w:val="24"/>
          <w:szCs w:val="24"/>
        </w:rPr>
        <w:t>C</w:t>
      </w:r>
      <w:r w:rsidRPr="00875208">
        <w:rPr>
          <w:sz w:val="24"/>
          <w:szCs w:val="24"/>
        </w:rPr>
        <w:t xml:space="preserve">ontracting </w:t>
      </w:r>
      <w:r w:rsidR="009D3054" w:rsidRPr="00875208">
        <w:rPr>
          <w:sz w:val="24"/>
          <w:szCs w:val="24"/>
        </w:rPr>
        <w:t>A</w:t>
      </w:r>
      <w:r w:rsidRPr="00875208">
        <w:rPr>
          <w:sz w:val="24"/>
          <w:szCs w:val="24"/>
        </w:rPr>
        <w:t xml:space="preserve">uthority with the possible assistance of external assessors. All actions submitted by applicants will be assessed according to the following </w:t>
      </w:r>
      <w:r w:rsidR="00C67E04" w:rsidRPr="00875208">
        <w:rPr>
          <w:sz w:val="24"/>
          <w:szCs w:val="24"/>
        </w:rPr>
        <w:t>steps</w:t>
      </w:r>
      <w:r w:rsidR="00671019" w:rsidRPr="00875208">
        <w:rPr>
          <w:sz w:val="24"/>
          <w:szCs w:val="24"/>
        </w:rPr>
        <w:t xml:space="preserve"> and criteria</w:t>
      </w:r>
      <w:r w:rsidR="00E17C2A" w:rsidRPr="00875208">
        <w:rPr>
          <w:sz w:val="24"/>
          <w:szCs w:val="24"/>
        </w:rPr>
        <w:t>.</w:t>
      </w:r>
    </w:p>
    <w:p w:rsidR="00050E48" w:rsidRPr="00875208" w:rsidRDefault="00050E48" w:rsidP="00203ABF">
      <w:pPr>
        <w:rPr>
          <w:sz w:val="24"/>
          <w:szCs w:val="24"/>
        </w:rPr>
      </w:pPr>
      <w:r w:rsidRPr="00875208">
        <w:rPr>
          <w:sz w:val="24"/>
          <w:szCs w:val="24"/>
        </w:rPr>
        <w:t xml:space="preserve">If the examination of the application reveals that the proposed action does not meet the </w:t>
      </w:r>
      <w:r w:rsidRPr="00875208">
        <w:rPr>
          <w:sz w:val="24"/>
          <w:szCs w:val="24"/>
          <w:u w:val="single"/>
        </w:rPr>
        <w:t>eligibility criteria</w:t>
      </w:r>
      <w:r w:rsidRPr="00875208">
        <w:rPr>
          <w:sz w:val="24"/>
          <w:szCs w:val="24"/>
        </w:rPr>
        <w:t xml:space="preserve"> stated in paragraph 2.1, the application </w:t>
      </w:r>
      <w:r w:rsidR="001151FE" w:rsidRPr="00875208">
        <w:rPr>
          <w:sz w:val="24"/>
          <w:szCs w:val="24"/>
        </w:rPr>
        <w:t xml:space="preserve">will </w:t>
      </w:r>
      <w:r w:rsidRPr="00875208">
        <w:rPr>
          <w:sz w:val="24"/>
          <w:szCs w:val="24"/>
        </w:rPr>
        <w:t>be rejected on this sole basis.</w:t>
      </w:r>
    </w:p>
    <w:p w:rsidR="0007408E" w:rsidRPr="00875208" w:rsidRDefault="0059080E" w:rsidP="00904785">
      <w:pPr>
        <w:numPr>
          <w:ilvl w:val="0"/>
          <w:numId w:val="9"/>
        </w:numPr>
        <w:tabs>
          <w:tab w:val="left" w:pos="426"/>
          <w:tab w:val="left" w:pos="1418"/>
        </w:tabs>
        <w:ind w:left="1418" w:hanging="1418"/>
        <w:jc w:val="left"/>
        <w:rPr>
          <w:b/>
          <w:sz w:val="24"/>
          <w:szCs w:val="24"/>
        </w:rPr>
      </w:pPr>
      <w:r w:rsidRPr="00875208">
        <w:rPr>
          <w:b/>
          <w:sz w:val="24"/>
          <w:szCs w:val="24"/>
        </w:rPr>
        <w:t>STEP</w:t>
      </w:r>
      <w:r w:rsidR="009A51CA" w:rsidRPr="00875208">
        <w:rPr>
          <w:b/>
          <w:sz w:val="24"/>
          <w:szCs w:val="24"/>
        </w:rPr>
        <w:t xml:space="preserve"> 1</w:t>
      </w:r>
      <w:r w:rsidRPr="00875208">
        <w:rPr>
          <w:b/>
          <w:sz w:val="24"/>
          <w:szCs w:val="24"/>
        </w:rPr>
        <w:t>:</w:t>
      </w:r>
      <w:r w:rsidR="005D7AF3" w:rsidRPr="00875208">
        <w:rPr>
          <w:b/>
          <w:sz w:val="24"/>
          <w:szCs w:val="24"/>
        </w:rPr>
        <w:tab/>
      </w:r>
      <w:r w:rsidR="00C67E04" w:rsidRPr="00875208">
        <w:rPr>
          <w:b/>
          <w:sz w:val="24"/>
          <w:szCs w:val="24"/>
        </w:rPr>
        <w:t>O</w:t>
      </w:r>
      <w:r w:rsidR="007A3169" w:rsidRPr="00875208">
        <w:rPr>
          <w:b/>
          <w:sz w:val="24"/>
          <w:szCs w:val="24"/>
        </w:rPr>
        <w:t>PENING</w:t>
      </w:r>
      <w:r w:rsidR="00B66332" w:rsidRPr="00875208">
        <w:rPr>
          <w:b/>
          <w:sz w:val="24"/>
          <w:szCs w:val="24"/>
        </w:rPr>
        <w:t>&amp;</w:t>
      </w:r>
      <w:r w:rsidR="001F4014" w:rsidRPr="00875208">
        <w:rPr>
          <w:b/>
          <w:sz w:val="24"/>
          <w:szCs w:val="24"/>
        </w:rPr>
        <w:t>ADMINISTRATIVE CHECK</w:t>
      </w:r>
      <w:r w:rsidR="008A5CD8" w:rsidRPr="00875208">
        <w:rPr>
          <w:b/>
          <w:sz w:val="24"/>
          <w:szCs w:val="24"/>
        </w:rPr>
        <w:t>S</w:t>
      </w:r>
      <w:r w:rsidR="00B66332" w:rsidRPr="00875208">
        <w:rPr>
          <w:b/>
          <w:sz w:val="24"/>
          <w:szCs w:val="24"/>
        </w:rPr>
        <w:t xml:space="preserve"> AND </w:t>
      </w:r>
      <w:r w:rsidR="008A5CD8" w:rsidRPr="00875208">
        <w:rPr>
          <w:b/>
          <w:sz w:val="24"/>
          <w:szCs w:val="24"/>
        </w:rPr>
        <w:t>CONCEPT NOTE EVALUATION</w:t>
      </w:r>
    </w:p>
    <w:p w:rsidR="00402677" w:rsidRPr="00875208" w:rsidRDefault="0059080E" w:rsidP="006F280A">
      <w:pPr>
        <w:rPr>
          <w:sz w:val="24"/>
          <w:szCs w:val="24"/>
        </w:rPr>
      </w:pPr>
      <w:r w:rsidRPr="00875208">
        <w:rPr>
          <w:sz w:val="24"/>
          <w:szCs w:val="24"/>
        </w:rPr>
        <w:t>The following will be assessed:</w:t>
      </w:r>
    </w:p>
    <w:p w:rsidR="0059080E" w:rsidRDefault="001151FE" w:rsidP="003048CC">
      <w:pPr>
        <w:numPr>
          <w:ilvl w:val="0"/>
          <w:numId w:val="10"/>
        </w:numPr>
        <w:spacing w:after="0"/>
        <w:rPr>
          <w:sz w:val="24"/>
          <w:szCs w:val="24"/>
        </w:rPr>
      </w:pPr>
      <w:r w:rsidRPr="00875208">
        <w:rPr>
          <w:sz w:val="24"/>
          <w:szCs w:val="24"/>
        </w:rPr>
        <w:t>Compliance with t</w:t>
      </w:r>
      <w:r w:rsidR="0059080E" w:rsidRPr="00875208">
        <w:rPr>
          <w:sz w:val="24"/>
          <w:szCs w:val="24"/>
        </w:rPr>
        <w:t xml:space="preserve">he </w:t>
      </w:r>
      <w:r w:rsidR="00BD4B21" w:rsidRPr="00875208">
        <w:rPr>
          <w:sz w:val="24"/>
          <w:szCs w:val="24"/>
        </w:rPr>
        <w:t xml:space="preserve">submission </w:t>
      </w:r>
      <w:r w:rsidR="00B85A17" w:rsidRPr="00875208">
        <w:rPr>
          <w:sz w:val="24"/>
          <w:szCs w:val="24"/>
        </w:rPr>
        <w:t>deadline</w:t>
      </w:r>
      <w:r w:rsidR="0059080E" w:rsidRPr="00875208">
        <w:rPr>
          <w:sz w:val="24"/>
          <w:szCs w:val="24"/>
        </w:rPr>
        <w:t xml:space="preserve">. If the deadline has not been </w:t>
      </w:r>
      <w:r w:rsidR="00E56448" w:rsidRPr="00875208">
        <w:rPr>
          <w:sz w:val="24"/>
          <w:szCs w:val="24"/>
        </w:rPr>
        <w:t xml:space="preserve">met, </w:t>
      </w:r>
      <w:r w:rsidR="0059080E" w:rsidRPr="00875208">
        <w:rPr>
          <w:sz w:val="24"/>
          <w:szCs w:val="24"/>
        </w:rPr>
        <w:t xml:space="preserve">the </w:t>
      </w:r>
      <w:r w:rsidR="006459C5" w:rsidRPr="00875208">
        <w:rPr>
          <w:sz w:val="24"/>
          <w:szCs w:val="24"/>
        </w:rPr>
        <w:t>application</w:t>
      </w:r>
      <w:r w:rsidR="0059080E" w:rsidRPr="00875208">
        <w:rPr>
          <w:sz w:val="24"/>
          <w:szCs w:val="24"/>
        </w:rPr>
        <w:t xml:space="preserve"> will</w:t>
      </w:r>
      <w:r w:rsidR="008E27C2" w:rsidRPr="00875208">
        <w:rPr>
          <w:sz w:val="24"/>
          <w:szCs w:val="24"/>
        </w:rPr>
        <w:t xml:space="preserve"> automatically </w:t>
      </w:r>
      <w:r w:rsidR="00607F60" w:rsidRPr="00875208">
        <w:rPr>
          <w:sz w:val="24"/>
          <w:szCs w:val="24"/>
        </w:rPr>
        <w:t xml:space="preserve">be </w:t>
      </w:r>
      <w:r w:rsidR="004C44FA" w:rsidRPr="00875208">
        <w:rPr>
          <w:sz w:val="24"/>
          <w:szCs w:val="24"/>
        </w:rPr>
        <w:t>rejected</w:t>
      </w:r>
      <w:r w:rsidR="008E27C2" w:rsidRPr="00875208">
        <w:rPr>
          <w:sz w:val="24"/>
          <w:szCs w:val="24"/>
        </w:rPr>
        <w:t>.</w:t>
      </w:r>
    </w:p>
    <w:p w:rsidR="003048CC" w:rsidRPr="00875208" w:rsidRDefault="003048CC" w:rsidP="003048CC">
      <w:pPr>
        <w:spacing w:after="0"/>
        <w:ind w:left="720"/>
        <w:rPr>
          <w:sz w:val="24"/>
          <w:szCs w:val="24"/>
        </w:rPr>
      </w:pPr>
    </w:p>
    <w:p w:rsidR="0059080E" w:rsidRPr="00875208" w:rsidRDefault="007A3169" w:rsidP="00904785">
      <w:pPr>
        <w:numPr>
          <w:ilvl w:val="0"/>
          <w:numId w:val="10"/>
        </w:numPr>
        <w:rPr>
          <w:sz w:val="24"/>
          <w:szCs w:val="24"/>
        </w:rPr>
      </w:pPr>
      <w:r w:rsidRPr="00875208">
        <w:rPr>
          <w:sz w:val="24"/>
          <w:szCs w:val="24"/>
        </w:rPr>
        <w:t xml:space="preserve">The </w:t>
      </w:r>
      <w:r w:rsidR="0084479D" w:rsidRPr="00875208">
        <w:rPr>
          <w:sz w:val="24"/>
          <w:szCs w:val="24"/>
        </w:rPr>
        <w:t xml:space="preserve">Concept </w:t>
      </w:r>
      <w:r w:rsidR="00740A05" w:rsidRPr="00875208">
        <w:rPr>
          <w:sz w:val="24"/>
          <w:szCs w:val="24"/>
        </w:rPr>
        <w:t>Note satisfies</w:t>
      </w:r>
      <w:r w:rsidR="006B6FC1" w:rsidRPr="00875208">
        <w:rPr>
          <w:sz w:val="24"/>
          <w:szCs w:val="24"/>
        </w:rPr>
        <w:t xml:space="preserve"> all the criteria </w:t>
      </w:r>
      <w:r w:rsidR="00BD4B21" w:rsidRPr="00875208">
        <w:rPr>
          <w:sz w:val="24"/>
          <w:szCs w:val="24"/>
        </w:rPr>
        <w:t>specified in points 1-5 of</w:t>
      </w:r>
      <w:r w:rsidR="006B6FC1" w:rsidRPr="00875208">
        <w:rPr>
          <w:sz w:val="24"/>
          <w:szCs w:val="24"/>
        </w:rPr>
        <w:t xml:space="preserve"> the </w:t>
      </w:r>
      <w:r w:rsidRPr="00875208">
        <w:rPr>
          <w:sz w:val="24"/>
          <w:szCs w:val="24"/>
        </w:rPr>
        <w:t xml:space="preserve">Checklist </w:t>
      </w:r>
      <w:r w:rsidR="00A8481C" w:rsidRPr="00875208">
        <w:rPr>
          <w:sz w:val="24"/>
          <w:szCs w:val="24"/>
        </w:rPr>
        <w:t>(</w:t>
      </w:r>
      <w:r w:rsidR="00896ECA" w:rsidRPr="00875208">
        <w:rPr>
          <w:sz w:val="24"/>
          <w:szCs w:val="24"/>
        </w:rPr>
        <w:t>Section</w:t>
      </w:r>
      <w:r w:rsidR="004A6B7D">
        <w:rPr>
          <w:sz w:val="24"/>
          <w:szCs w:val="24"/>
        </w:rPr>
        <w:t xml:space="preserve"> </w:t>
      </w:r>
      <w:r w:rsidR="00AF40C6" w:rsidRPr="00875208">
        <w:rPr>
          <w:sz w:val="24"/>
          <w:szCs w:val="24"/>
        </w:rPr>
        <w:t>2</w:t>
      </w:r>
      <w:r w:rsidR="00C727EC" w:rsidRPr="00875208">
        <w:rPr>
          <w:sz w:val="24"/>
          <w:szCs w:val="24"/>
        </w:rPr>
        <w:t xml:space="preserve"> of </w:t>
      </w:r>
      <w:r w:rsidR="00896ECA" w:rsidRPr="00875208">
        <w:rPr>
          <w:sz w:val="24"/>
          <w:szCs w:val="24"/>
        </w:rPr>
        <w:t>Part</w:t>
      </w:r>
      <w:r w:rsidR="00C727EC" w:rsidRPr="00875208">
        <w:rPr>
          <w:sz w:val="24"/>
          <w:szCs w:val="24"/>
        </w:rPr>
        <w:t xml:space="preserve"> A</w:t>
      </w:r>
      <w:r w:rsidR="00F16D05">
        <w:rPr>
          <w:sz w:val="24"/>
          <w:szCs w:val="24"/>
        </w:rPr>
        <w:t xml:space="preserve"> </w:t>
      </w:r>
      <w:r w:rsidRPr="00875208">
        <w:rPr>
          <w:sz w:val="24"/>
          <w:szCs w:val="24"/>
        </w:rPr>
        <w:t>of the grant application form</w:t>
      </w:r>
      <w:r w:rsidR="0060155A" w:rsidRPr="00875208">
        <w:rPr>
          <w:sz w:val="24"/>
          <w:szCs w:val="24"/>
        </w:rPr>
        <w:t>)</w:t>
      </w:r>
      <w:r w:rsidR="005913EB" w:rsidRPr="00875208">
        <w:rPr>
          <w:sz w:val="24"/>
          <w:szCs w:val="24"/>
        </w:rPr>
        <w:t>.</w:t>
      </w:r>
      <w:r w:rsidR="00B00326">
        <w:rPr>
          <w:sz w:val="24"/>
          <w:szCs w:val="24"/>
        </w:rPr>
        <w:t xml:space="preserve"> </w:t>
      </w:r>
      <w:r w:rsidR="0059080E" w:rsidRPr="00875208">
        <w:rPr>
          <w:sz w:val="24"/>
          <w:szCs w:val="24"/>
        </w:rPr>
        <w:t xml:space="preserve">If any of the </w:t>
      </w:r>
      <w:r w:rsidR="00B85A17" w:rsidRPr="00875208">
        <w:rPr>
          <w:sz w:val="24"/>
          <w:szCs w:val="24"/>
        </w:rPr>
        <w:t xml:space="preserve">requested </w:t>
      </w:r>
      <w:r w:rsidR="0059080E" w:rsidRPr="00875208">
        <w:rPr>
          <w:sz w:val="24"/>
          <w:szCs w:val="24"/>
        </w:rPr>
        <w:t xml:space="preserve">information is missing or </w:t>
      </w:r>
      <w:r w:rsidR="004C44FA" w:rsidRPr="00875208">
        <w:rPr>
          <w:sz w:val="24"/>
          <w:szCs w:val="24"/>
        </w:rPr>
        <w:t xml:space="preserve">is </w:t>
      </w:r>
      <w:r w:rsidR="0059080E" w:rsidRPr="00875208">
        <w:rPr>
          <w:sz w:val="24"/>
          <w:szCs w:val="24"/>
        </w:rPr>
        <w:t xml:space="preserve">incorrect, the </w:t>
      </w:r>
      <w:r w:rsidR="006459C5" w:rsidRPr="00875208">
        <w:rPr>
          <w:sz w:val="24"/>
          <w:szCs w:val="24"/>
        </w:rPr>
        <w:t>application</w:t>
      </w:r>
      <w:r w:rsidR="00F16D05">
        <w:rPr>
          <w:sz w:val="24"/>
          <w:szCs w:val="24"/>
        </w:rPr>
        <w:t xml:space="preserve"> </w:t>
      </w:r>
      <w:r w:rsidR="0087633A" w:rsidRPr="00875208">
        <w:rPr>
          <w:sz w:val="24"/>
          <w:szCs w:val="24"/>
        </w:rPr>
        <w:t>may</w:t>
      </w:r>
      <w:r w:rsidR="004A6B7D">
        <w:rPr>
          <w:sz w:val="24"/>
          <w:szCs w:val="24"/>
        </w:rPr>
        <w:t xml:space="preserve"> </w:t>
      </w:r>
      <w:r w:rsidR="0059080E" w:rsidRPr="00875208">
        <w:rPr>
          <w:sz w:val="24"/>
          <w:szCs w:val="24"/>
        </w:rPr>
        <w:t xml:space="preserve">be rejected on that </w:t>
      </w:r>
      <w:r w:rsidR="0059080E" w:rsidRPr="00875208">
        <w:rPr>
          <w:b/>
          <w:sz w:val="24"/>
          <w:szCs w:val="24"/>
          <w:u w:val="single"/>
        </w:rPr>
        <w:t>sole</w:t>
      </w:r>
      <w:r w:rsidR="00962588" w:rsidRPr="00875208">
        <w:rPr>
          <w:sz w:val="24"/>
          <w:szCs w:val="24"/>
        </w:rPr>
        <w:t xml:space="preserve"> basis and the </w:t>
      </w:r>
      <w:r w:rsidR="006459C5" w:rsidRPr="00875208">
        <w:rPr>
          <w:sz w:val="24"/>
          <w:szCs w:val="24"/>
        </w:rPr>
        <w:t>application</w:t>
      </w:r>
      <w:r w:rsidR="00962588" w:rsidRPr="00875208">
        <w:rPr>
          <w:sz w:val="24"/>
          <w:szCs w:val="24"/>
        </w:rPr>
        <w:t xml:space="preserve"> will not be evaluated</w:t>
      </w:r>
      <w:r w:rsidR="00607F60" w:rsidRPr="00875208">
        <w:rPr>
          <w:sz w:val="24"/>
          <w:szCs w:val="24"/>
        </w:rPr>
        <w:t xml:space="preserve"> further</w:t>
      </w:r>
      <w:r w:rsidR="00962588" w:rsidRPr="00875208">
        <w:rPr>
          <w:sz w:val="24"/>
          <w:szCs w:val="24"/>
        </w:rPr>
        <w:t>.</w:t>
      </w:r>
    </w:p>
    <w:p w:rsidR="00C727EC" w:rsidRPr="00875208" w:rsidRDefault="00400B42" w:rsidP="006F280A">
      <w:pPr>
        <w:rPr>
          <w:sz w:val="24"/>
          <w:szCs w:val="24"/>
        </w:rPr>
      </w:pPr>
      <w:r w:rsidRPr="00875208">
        <w:rPr>
          <w:sz w:val="24"/>
          <w:szCs w:val="24"/>
        </w:rPr>
        <w:t xml:space="preserve">The Concept Notes that pass the first administrative check will </w:t>
      </w:r>
      <w:r w:rsidR="00B83541" w:rsidRPr="00875208">
        <w:rPr>
          <w:sz w:val="24"/>
          <w:szCs w:val="24"/>
        </w:rPr>
        <w:t>be evaluated on</w:t>
      </w:r>
      <w:r w:rsidRPr="00875208">
        <w:rPr>
          <w:sz w:val="24"/>
          <w:szCs w:val="24"/>
        </w:rPr>
        <w:t xml:space="preserve"> the relevance </w:t>
      </w:r>
      <w:r w:rsidR="0002503B" w:rsidRPr="00875208">
        <w:rPr>
          <w:sz w:val="24"/>
          <w:szCs w:val="24"/>
        </w:rPr>
        <w:t xml:space="preserve">and design </w:t>
      </w:r>
      <w:r w:rsidRPr="00875208">
        <w:rPr>
          <w:sz w:val="24"/>
          <w:szCs w:val="24"/>
        </w:rPr>
        <w:t xml:space="preserve">of the </w:t>
      </w:r>
      <w:r w:rsidR="00E56448" w:rsidRPr="00875208">
        <w:rPr>
          <w:sz w:val="24"/>
          <w:szCs w:val="24"/>
        </w:rPr>
        <w:t xml:space="preserve">proposed </w:t>
      </w:r>
      <w:r w:rsidRPr="00875208">
        <w:rPr>
          <w:sz w:val="24"/>
          <w:szCs w:val="24"/>
        </w:rPr>
        <w:t>action</w:t>
      </w:r>
      <w:r w:rsidR="0002503B" w:rsidRPr="00875208">
        <w:rPr>
          <w:sz w:val="24"/>
          <w:szCs w:val="24"/>
        </w:rPr>
        <w:t>.</w:t>
      </w:r>
    </w:p>
    <w:p w:rsidR="00400B42" w:rsidRPr="00875208" w:rsidRDefault="00400B42" w:rsidP="006F280A">
      <w:pPr>
        <w:rPr>
          <w:sz w:val="24"/>
          <w:szCs w:val="24"/>
        </w:rPr>
      </w:pPr>
      <w:r w:rsidRPr="00875208">
        <w:rPr>
          <w:sz w:val="24"/>
          <w:szCs w:val="24"/>
        </w:rPr>
        <w:t xml:space="preserve">The Concept Note will </w:t>
      </w:r>
      <w:r w:rsidR="00B83541" w:rsidRPr="00875208">
        <w:rPr>
          <w:sz w:val="24"/>
          <w:szCs w:val="24"/>
        </w:rPr>
        <w:t>receive</w:t>
      </w:r>
      <w:r w:rsidRPr="00875208">
        <w:rPr>
          <w:sz w:val="24"/>
          <w:szCs w:val="24"/>
        </w:rPr>
        <w:t xml:space="preserve"> an overall score out of 50 </w:t>
      </w:r>
      <w:r w:rsidR="00B83541" w:rsidRPr="00875208">
        <w:rPr>
          <w:sz w:val="24"/>
          <w:szCs w:val="24"/>
        </w:rPr>
        <w:t>using</w:t>
      </w:r>
      <w:r w:rsidRPr="00875208">
        <w:rPr>
          <w:sz w:val="24"/>
          <w:szCs w:val="24"/>
        </w:rPr>
        <w:t xml:space="preserve"> the breakdown in the </w:t>
      </w:r>
      <w:r w:rsidR="00B83541" w:rsidRPr="00875208">
        <w:rPr>
          <w:sz w:val="24"/>
          <w:szCs w:val="24"/>
        </w:rPr>
        <w:t>e</w:t>
      </w:r>
      <w:r w:rsidRPr="00875208">
        <w:rPr>
          <w:sz w:val="24"/>
          <w:szCs w:val="24"/>
        </w:rPr>
        <w:t xml:space="preserve">valuation </w:t>
      </w:r>
      <w:r w:rsidR="00B83541" w:rsidRPr="00875208">
        <w:rPr>
          <w:sz w:val="24"/>
          <w:szCs w:val="24"/>
        </w:rPr>
        <w:t>g</w:t>
      </w:r>
      <w:r w:rsidRPr="00875208">
        <w:rPr>
          <w:sz w:val="24"/>
          <w:szCs w:val="24"/>
        </w:rPr>
        <w:t xml:space="preserve">rid below. The evaluation </w:t>
      </w:r>
      <w:r w:rsidR="00B83541" w:rsidRPr="00875208">
        <w:rPr>
          <w:sz w:val="24"/>
          <w:szCs w:val="24"/>
        </w:rPr>
        <w:t xml:space="preserve">will </w:t>
      </w:r>
      <w:r w:rsidRPr="00875208">
        <w:rPr>
          <w:sz w:val="24"/>
          <w:szCs w:val="24"/>
        </w:rPr>
        <w:t xml:space="preserve">also </w:t>
      </w:r>
      <w:r w:rsidR="00B83541" w:rsidRPr="00875208">
        <w:rPr>
          <w:sz w:val="24"/>
          <w:szCs w:val="24"/>
        </w:rPr>
        <w:t>check on</w:t>
      </w:r>
      <w:r w:rsidRPr="00875208">
        <w:rPr>
          <w:sz w:val="24"/>
          <w:szCs w:val="24"/>
        </w:rPr>
        <w:t xml:space="preserve"> compliance with the </w:t>
      </w:r>
      <w:r w:rsidR="007B5847" w:rsidRPr="00875208">
        <w:rPr>
          <w:sz w:val="24"/>
          <w:szCs w:val="24"/>
        </w:rPr>
        <w:t xml:space="preserve">instructions on the </w:t>
      </w:r>
      <w:r w:rsidRPr="00875208">
        <w:rPr>
          <w:sz w:val="24"/>
          <w:szCs w:val="24"/>
        </w:rPr>
        <w:t>Concept Note</w:t>
      </w:r>
      <w:r w:rsidR="007B5847" w:rsidRPr="00875208">
        <w:rPr>
          <w:sz w:val="24"/>
          <w:szCs w:val="24"/>
        </w:rPr>
        <w:t xml:space="preserve">, which can be found </w:t>
      </w:r>
      <w:r w:rsidR="008B1EA7" w:rsidRPr="00875208">
        <w:rPr>
          <w:sz w:val="24"/>
          <w:szCs w:val="24"/>
        </w:rPr>
        <w:t>in Part A of the Application Form</w:t>
      </w:r>
      <w:r w:rsidR="007B5847" w:rsidRPr="00875208">
        <w:rPr>
          <w:sz w:val="24"/>
          <w:szCs w:val="24"/>
        </w:rPr>
        <w:t>.</w:t>
      </w:r>
    </w:p>
    <w:p w:rsidR="004A6B7D" w:rsidRPr="00875208" w:rsidRDefault="00ED5802" w:rsidP="006F280A">
      <w:pPr>
        <w:rPr>
          <w:sz w:val="24"/>
          <w:szCs w:val="24"/>
        </w:rPr>
      </w:pPr>
      <w:bookmarkStart w:id="37" w:name="_Toc159211906"/>
      <w:bookmarkStart w:id="38" w:name="_Toc159212662"/>
      <w:bookmarkStart w:id="39" w:name="_Toc159212881"/>
      <w:bookmarkStart w:id="40" w:name="_Toc159213197"/>
      <w:r w:rsidRPr="00875208">
        <w:rPr>
          <w:sz w:val="24"/>
          <w:szCs w:val="24"/>
        </w:rPr>
        <w:lastRenderedPageBreak/>
        <w:t xml:space="preserve">The </w:t>
      </w:r>
      <w:r w:rsidRPr="00875208">
        <w:rPr>
          <w:sz w:val="24"/>
          <w:szCs w:val="24"/>
          <w:u w:val="single"/>
        </w:rPr>
        <w:t>evaluation criteria</w:t>
      </w:r>
      <w:r w:rsidRPr="00875208">
        <w:rPr>
          <w:sz w:val="24"/>
          <w:szCs w:val="24"/>
        </w:rPr>
        <w:t xml:space="preserve"> are divided into headings and subheadings. Each subheading will be given a score between 1 and 5 </w:t>
      </w:r>
      <w:r w:rsidR="006F44FB" w:rsidRPr="00875208">
        <w:rPr>
          <w:sz w:val="24"/>
          <w:szCs w:val="24"/>
        </w:rPr>
        <w:t>as follows</w:t>
      </w:r>
      <w:r w:rsidRPr="00875208">
        <w:rPr>
          <w:sz w:val="24"/>
          <w:szCs w:val="24"/>
        </w:rPr>
        <w:t>: 1 = very poor; 2 = poor; 3 = adequate; 4 = good; 5 = very good.</w:t>
      </w:r>
    </w:p>
    <w:bookmarkEnd w:id="37"/>
    <w:bookmarkEnd w:id="38"/>
    <w:bookmarkEnd w:id="39"/>
    <w:bookmarkEnd w:id="40"/>
    <w:tbl>
      <w:tblPr>
        <w:tblW w:w="9997" w:type="dxa"/>
        <w:tblLayout w:type="fixed"/>
        <w:tblLook w:val="01E0" w:firstRow="1" w:lastRow="1" w:firstColumn="1" w:lastColumn="1" w:noHBand="0" w:noVBand="0"/>
      </w:tblPr>
      <w:tblGrid>
        <w:gridCol w:w="8208"/>
        <w:gridCol w:w="1260"/>
        <w:gridCol w:w="529"/>
      </w:tblGrid>
      <w:tr w:rsidR="0002503B" w:rsidRPr="00875208" w:rsidTr="00C657E4">
        <w:tc>
          <w:tcPr>
            <w:tcW w:w="8208" w:type="dxa"/>
            <w:tcBorders>
              <w:bottom w:val="single" w:sz="4" w:space="0" w:color="auto"/>
            </w:tcBorders>
          </w:tcPr>
          <w:p w:rsidR="0002503B" w:rsidRPr="00875208" w:rsidRDefault="0002503B" w:rsidP="00F15864">
            <w:pPr>
              <w:spacing w:before="120"/>
              <w:rPr>
                <w:b/>
                <w:sz w:val="24"/>
                <w:szCs w:val="24"/>
              </w:rPr>
            </w:pPr>
          </w:p>
        </w:tc>
        <w:tc>
          <w:tcPr>
            <w:tcW w:w="1789" w:type="dxa"/>
            <w:gridSpan w:val="2"/>
            <w:tcBorders>
              <w:bottom w:val="single" w:sz="4" w:space="0" w:color="auto"/>
            </w:tcBorders>
          </w:tcPr>
          <w:p w:rsidR="0002503B" w:rsidRPr="00875208" w:rsidRDefault="0002503B" w:rsidP="00F15864">
            <w:pPr>
              <w:spacing w:before="120"/>
              <w:jc w:val="center"/>
              <w:rPr>
                <w:b/>
                <w:sz w:val="24"/>
                <w:szCs w:val="24"/>
              </w:rPr>
            </w:pPr>
            <w:r w:rsidRPr="00875208">
              <w:rPr>
                <w:b/>
                <w:sz w:val="24"/>
                <w:szCs w:val="24"/>
              </w:rPr>
              <w:t>Scores</w:t>
            </w:r>
          </w:p>
        </w:tc>
      </w:tr>
      <w:tr w:rsidR="0002503B" w:rsidRPr="00875208" w:rsidTr="00C657E4">
        <w:tc>
          <w:tcPr>
            <w:tcW w:w="8208" w:type="dxa"/>
            <w:tcBorders>
              <w:top w:val="single" w:sz="4" w:space="0" w:color="auto"/>
              <w:left w:val="single" w:sz="4" w:space="0" w:color="auto"/>
              <w:bottom w:val="single" w:sz="4" w:space="0" w:color="auto"/>
            </w:tcBorders>
          </w:tcPr>
          <w:p w:rsidR="0002503B" w:rsidRPr="00875208" w:rsidRDefault="0002503B" w:rsidP="00F15864">
            <w:pPr>
              <w:spacing w:before="120"/>
              <w:rPr>
                <w:b/>
                <w:sz w:val="24"/>
                <w:szCs w:val="24"/>
              </w:rPr>
            </w:pPr>
            <w:r w:rsidRPr="00875208">
              <w:rPr>
                <w:b/>
                <w:sz w:val="24"/>
                <w:szCs w:val="24"/>
              </w:rPr>
              <w:t>1. Relevance of the action</w:t>
            </w:r>
          </w:p>
        </w:tc>
        <w:tc>
          <w:tcPr>
            <w:tcW w:w="1260" w:type="dxa"/>
            <w:tcBorders>
              <w:top w:val="single" w:sz="4" w:space="0" w:color="auto"/>
              <w:bottom w:val="single" w:sz="4" w:space="0" w:color="auto"/>
            </w:tcBorders>
          </w:tcPr>
          <w:p w:rsidR="0002503B" w:rsidRPr="00875208" w:rsidRDefault="0002503B" w:rsidP="00F15864">
            <w:pPr>
              <w:spacing w:before="120"/>
              <w:jc w:val="center"/>
              <w:rPr>
                <w:sz w:val="24"/>
                <w:szCs w:val="24"/>
              </w:rPr>
            </w:pPr>
            <w:r w:rsidRPr="00875208">
              <w:rPr>
                <w:sz w:val="24"/>
                <w:szCs w:val="24"/>
              </w:rPr>
              <w:t>Sub-score</w:t>
            </w:r>
          </w:p>
        </w:tc>
        <w:tc>
          <w:tcPr>
            <w:tcW w:w="529" w:type="dxa"/>
            <w:tcBorders>
              <w:top w:val="single" w:sz="4" w:space="0" w:color="auto"/>
              <w:bottom w:val="single" w:sz="4" w:space="0" w:color="auto"/>
              <w:right w:val="single" w:sz="4" w:space="0" w:color="auto"/>
            </w:tcBorders>
          </w:tcPr>
          <w:p w:rsidR="0002503B" w:rsidRPr="00875208" w:rsidRDefault="008A5CD8" w:rsidP="00F15864">
            <w:pPr>
              <w:spacing w:before="120"/>
              <w:jc w:val="center"/>
              <w:rPr>
                <w:b/>
                <w:sz w:val="24"/>
                <w:szCs w:val="24"/>
              </w:rPr>
            </w:pPr>
            <w:r w:rsidRPr="00875208">
              <w:rPr>
                <w:b/>
                <w:sz w:val="24"/>
                <w:szCs w:val="24"/>
              </w:rPr>
              <w:t>30</w:t>
            </w:r>
          </w:p>
        </w:tc>
      </w:tr>
      <w:tr w:rsidR="0002503B" w:rsidRPr="00875208"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rsidR="0002503B" w:rsidRPr="00875208" w:rsidRDefault="0002503B" w:rsidP="00F15864">
            <w:pPr>
              <w:spacing w:before="120"/>
              <w:ind w:left="340" w:hanging="340"/>
              <w:rPr>
                <w:sz w:val="24"/>
                <w:szCs w:val="24"/>
              </w:rPr>
            </w:pPr>
            <w:r w:rsidRPr="00875208">
              <w:rPr>
                <w:sz w:val="24"/>
                <w:szCs w:val="24"/>
              </w:rPr>
              <w:t>1.1 How relevant is the proposal to the objectives and priorities of the Call for Proposals?</w:t>
            </w:r>
            <w:r w:rsidR="00682B40" w:rsidRPr="00875208">
              <w:rPr>
                <w:sz w:val="24"/>
                <w:szCs w:val="24"/>
              </w:rPr>
              <w:t>*</w:t>
            </w:r>
          </w:p>
        </w:tc>
        <w:tc>
          <w:tcPr>
            <w:tcW w:w="1260" w:type="dxa"/>
            <w:tcBorders>
              <w:top w:val="single" w:sz="4" w:space="0" w:color="auto"/>
              <w:left w:val="single" w:sz="4" w:space="0" w:color="auto"/>
              <w:right w:val="single" w:sz="4" w:space="0" w:color="auto"/>
            </w:tcBorders>
          </w:tcPr>
          <w:p w:rsidR="0002503B" w:rsidRPr="00875208" w:rsidRDefault="000636F3" w:rsidP="00F15864">
            <w:pPr>
              <w:spacing w:before="120"/>
              <w:jc w:val="center"/>
              <w:rPr>
                <w:sz w:val="24"/>
                <w:szCs w:val="24"/>
              </w:rPr>
            </w:pPr>
            <w:r w:rsidRPr="00875208">
              <w:rPr>
                <w:sz w:val="24"/>
                <w:szCs w:val="24"/>
              </w:rPr>
              <w:t>5x2</w:t>
            </w:r>
            <w:r w:rsidR="00790B79" w:rsidRPr="00875208">
              <w:rPr>
                <w:sz w:val="24"/>
                <w:szCs w:val="24"/>
              </w:rPr>
              <w:t>**</w:t>
            </w:r>
          </w:p>
        </w:tc>
        <w:tc>
          <w:tcPr>
            <w:tcW w:w="529" w:type="dxa"/>
            <w:tcBorders>
              <w:top w:val="single" w:sz="4" w:space="0" w:color="auto"/>
              <w:left w:val="single" w:sz="4" w:space="0" w:color="auto"/>
              <w:right w:val="single" w:sz="4" w:space="0" w:color="auto"/>
            </w:tcBorders>
            <w:shd w:val="clear" w:color="auto" w:fill="auto"/>
          </w:tcPr>
          <w:p w:rsidR="0002503B" w:rsidRPr="00875208" w:rsidRDefault="0002503B" w:rsidP="00F15864">
            <w:pPr>
              <w:spacing w:before="120"/>
              <w:jc w:val="center"/>
              <w:rPr>
                <w:sz w:val="24"/>
                <w:szCs w:val="24"/>
                <w:u w:val="single"/>
              </w:rPr>
            </w:pPr>
          </w:p>
        </w:tc>
      </w:tr>
      <w:tr w:rsidR="0002503B" w:rsidRPr="00875208"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rsidR="0002503B" w:rsidRPr="00875208" w:rsidRDefault="0002503B" w:rsidP="00F15864">
            <w:pPr>
              <w:spacing w:before="120"/>
              <w:ind w:left="340" w:hanging="340"/>
              <w:rPr>
                <w:sz w:val="24"/>
                <w:szCs w:val="24"/>
              </w:rPr>
            </w:pPr>
            <w:r w:rsidRPr="00875208">
              <w:rPr>
                <w:sz w:val="24"/>
                <w:szCs w:val="24"/>
              </w:rPr>
              <w:t>1.2 How relevant to the particular needs and constraints</w:t>
            </w:r>
            <w:r w:rsidR="00201798">
              <w:rPr>
                <w:sz w:val="24"/>
                <w:szCs w:val="24"/>
              </w:rPr>
              <w:t xml:space="preserve"> </w:t>
            </w:r>
            <w:r w:rsidRPr="00875208">
              <w:rPr>
                <w:sz w:val="24"/>
                <w:szCs w:val="24"/>
              </w:rPr>
              <w:t>of the target country(ies) or region(s) is the proposal (including synergy with other E</w:t>
            </w:r>
            <w:r w:rsidR="0038373D" w:rsidRPr="00875208">
              <w:rPr>
                <w:sz w:val="24"/>
                <w:szCs w:val="24"/>
              </w:rPr>
              <w:t>U</w:t>
            </w:r>
            <w:r w:rsidRPr="00875208">
              <w:rPr>
                <w:sz w:val="24"/>
                <w:szCs w:val="24"/>
              </w:rPr>
              <w:t xml:space="preserve"> initiatives and avoidance of duplication)</w:t>
            </w:r>
            <w:r w:rsidR="00E94856" w:rsidRPr="00875208">
              <w:rPr>
                <w:sz w:val="24"/>
                <w:szCs w:val="24"/>
              </w:rPr>
              <w:t>?</w:t>
            </w:r>
          </w:p>
        </w:tc>
        <w:tc>
          <w:tcPr>
            <w:tcW w:w="1260" w:type="dxa"/>
            <w:tcBorders>
              <w:left w:val="single" w:sz="4" w:space="0" w:color="auto"/>
              <w:right w:val="single" w:sz="4" w:space="0" w:color="auto"/>
            </w:tcBorders>
          </w:tcPr>
          <w:p w:rsidR="0002503B" w:rsidRPr="00875208" w:rsidRDefault="000636F3" w:rsidP="00F15864">
            <w:pPr>
              <w:spacing w:before="120"/>
              <w:jc w:val="center"/>
              <w:rPr>
                <w:sz w:val="24"/>
                <w:szCs w:val="24"/>
              </w:rPr>
            </w:pPr>
            <w:r w:rsidRPr="00875208">
              <w:rPr>
                <w:sz w:val="24"/>
                <w:szCs w:val="24"/>
              </w:rPr>
              <w:t>5x2</w:t>
            </w:r>
            <w:r w:rsidR="00790B79" w:rsidRPr="00875208">
              <w:rPr>
                <w:sz w:val="24"/>
                <w:szCs w:val="24"/>
              </w:rPr>
              <w:t>*</w:t>
            </w:r>
            <w:r w:rsidR="00542612">
              <w:rPr>
                <w:sz w:val="24"/>
                <w:szCs w:val="24"/>
              </w:rPr>
              <w:t>*</w:t>
            </w:r>
          </w:p>
        </w:tc>
        <w:tc>
          <w:tcPr>
            <w:tcW w:w="529" w:type="dxa"/>
            <w:tcBorders>
              <w:left w:val="single" w:sz="4" w:space="0" w:color="auto"/>
              <w:right w:val="single" w:sz="4" w:space="0" w:color="auto"/>
            </w:tcBorders>
            <w:shd w:val="clear" w:color="auto" w:fill="auto"/>
          </w:tcPr>
          <w:p w:rsidR="0002503B" w:rsidRPr="00875208" w:rsidRDefault="0002503B" w:rsidP="00F15864">
            <w:pPr>
              <w:spacing w:before="120"/>
              <w:jc w:val="center"/>
              <w:rPr>
                <w:sz w:val="24"/>
                <w:szCs w:val="24"/>
                <w:u w:val="single"/>
              </w:rPr>
            </w:pPr>
          </w:p>
        </w:tc>
      </w:tr>
      <w:tr w:rsidR="0002503B" w:rsidRPr="00875208" w:rsidTr="00682B40">
        <w:trPr>
          <w:trHeight w:val="990"/>
        </w:trPr>
        <w:tc>
          <w:tcPr>
            <w:tcW w:w="8208" w:type="dxa"/>
            <w:tcBorders>
              <w:left w:val="single" w:sz="4" w:space="0" w:color="auto"/>
              <w:right w:val="single" w:sz="4" w:space="0" w:color="auto"/>
            </w:tcBorders>
          </w:tcPr>
          <w:p w:rsidR="0002503B" w:rsidRPr="00875208" w:rsidRDefault="0002503B" w:rsidP="00F15864">
            <w:pPr>
              <w:spacing w:before="120"/>
              <w:ind w:left="340" w:hanging="340"/>
              <w:rPr>
                <w:sz w:val="24"/>
                <w:szCs w:val="24"/>
              </w:rPr>
            </w:pPr>
            <w:r w:rsidRPr="00875208">
              <w:rPr>
                <w:sz w:val="24"/>
                <w:szCs w:val="24"/>
              </w:rPr>
              <w:t>1.3 How clearly defined and strategically chosen are those involved (final beneficiaries, target groups)? Have their needs been clearly defined and does the proposal address them appropriately?</w:t>
            </w:r>
          </w:p>
        </w:tc>
        <w:tc>
          <w:tcPr>
            <w:tcW w:w="1260" w:type="dxa"/>
            <w:tcBorders>
              <w:top w:val="single" w:sz="4" w:space="0" w:color="auto"/>
              <w:left w:val="single" w:sz="4" w:space="0" w:color="auto"/>
              <w:right w:val="single" w:sz="4" w:space="0" w:color="auto"/>
            </w:tcBorders>
          </w:tcPr>
          <w:p w:rsidR="0002503B" w:rsidRPr="00875208" w:rsidDel="002D2C92" w:rsidRDefault="0002503B" w:rsidP="00F15864">
            <w:pPr>
              <w:spacing w:before="120"/>
              <w:jc w:val="center"/>
              <w:rPr>
                <w:sz w:val="24"/>
                <w:szCs w:val="24"/>
              </w:rPr>
            </w:pPr>
            <w:r w:rsidRPr="00875208">
              <w:rPr>
                <w:sz w:val="24"/>
                <w:szCs w:val="24"/>
              </w:rPr>
              <w:t>5</w:t>
            </w:r>
          </w:p>
        </w:tc>
        <w:tc>
          <w:tcPr>
            <w:tcW w:w="529" w:type="dxa"/>
            <w:tcBorders>
              <w:left w:val="single" w:sz="4" w:space="0" w:color="auto"/>
              <w:right w:val="single" w:sz="4" w:space="0" w:color="auto"/>
            </w:tcBorders>
            <w:shd w:val="clear" w:color="auto" w:fill="auto"/>
          </w:tcPr>
          <w:p w:rsidR="0002503B" w:rsidRPr="00875208" w:rsidRDefault="0002503B" w:rsidP="00F15864">
            <w:pPr>
              <w:spacing w:before="120"/>
              <w:jc w:val="center"/>
              <w:rPr>
                <w:sz w:val="24"/>
                <w:szCs w:val="24"/>
                <w:u w:val="single"/>
              </w:rPr>
            </w:pPr>
          </w:p>
        </w:tc>
      </w:tr>
      <w:tr w:rsidR="0002503B" w:rsidRPr="00875208"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rsidR="0002503B" w:rsidRPr="00875208" w:rsidRDefault="0002503B" w:rsidP="00E34A75">
            <w:pPr>
              <w:spacing w:before="120"/>
              <w:ind w:left="426" w:hanging="426"/>
              <w:rPr>
                <w:sz w:val="24"/>
                <w:szCs w:val="24"/>
              </w:rPr>
            </w:pPr>
            <w:r w:rsidRPr="00875208">
              <w:rPr>
                <w:sz w:val="24"/>
                <w:szCs w:val="24"/>
              </w:rPr>
              <w:t>1.4 Does the proposal contain specific added-value elements, such as environmental issues, promotion of gender equality and equal opportunities, needs of disabled people, rights of minorities and rights of indigenous peoples, or innovation and best practices?</w:t>
            </w:r>
          </w:p>
        </w:tc>
        <w:tc>
          <w:tcPr>
            <w:tcW w:w="1260" w:type="dxa"/>
            <w:tcBorders>
              <w:top w:val="single" w:sz="4" w:space="0" w:color="auto"/>
              <w:left w:val="single" w:sz="4" w:space="0" w:color="auto"/>
              <w:right w:val="single" w:sz="4" w:space="0" w:color="auto"/>
            </w:tcBorders>
          </w:tcPr>
          <w:p w:rsidR="0002503B" w:rsidRPr="00875208" w:rsidRDefault="0002503B" w:rsidP="00F15864">
            <w:pPr>
              <w:spacing w:before="120"/>
              <w:jc w:val="center"/>
              <w:rPr>
                <w:sz w:val="24"/>
                <w:szCs w:val="24"/>
              </w:rPr>
            </w:pPr>
            <w:r w:rsidRPr="00875208">
              <w:rPr>
                <w:sz w:val="24"/>
                <w:szCs w:val="24"/>
              </w:rPr>
              <w:t>5</w:t>
            </w:r>
          </w:p>
        </w:tc>
        <w:tc>
          <w:tcPr>
            <w:tcW w:w="529" w:type="dxa"/>
            <w:tcBorders>
              <w:left w:val="single" w:sz="4" w:space="0" w:color="auto"/>
              <w:right w:val="single" w:sz="4" w:space="0" w:color="auto"/>
            </w:tcBorders>
            <w:shd w:val="clear" w:color="auto" w:fill="auto"/>
          </w:tcPr>
          <w:p w:rsidR="0002503B" w:rsidRPr="00875208" w:rsidRDefault="0002503B" w:rsidP="00F15864">
            <w:pPr>
              <w:spacing w:before="120"/>
              <w:jc w:val="center"/>
              <w:rPr>
                <w:sz w:val="24"/>
                <w:szCs w:val="24"/>
                <w:u w:val="single"/>
              </w:rPr>
            </w:pPr>
          </w:p>
        </w:tc>
      </w:tr>
      <w:tr w:rsidR="0002503B" w:rsidRPr="00875208"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rsidR="0002503B" w:rsidRPr="00875208" w:rsidRDefault="0002503B" w:rsidP="00F15864">
            <w:pPr>
              <w:spacing w:before="120"/>
              <w:rPr>
                <w:b/>
                <w:sz w:val="24"/>
                <w:szCs w:val="24"/>
              </w:rPr>
            </w:pPr>
            <w:r w:rsidRPr="00875208">
              <w:rPr>
                <w:b/>
                <w:sz w:val="24"/>
                <w:szCs w:val="24"/>
              </w:rPr>
              <w:t>2. Design of the action</w:t>
            </w:r>
          </w:p>
        </w:tc>
        <w:tc>
          <w:tcPr>
            <w:tcW w:w="1260" w:type="dxa"/>
            <w:tcBorders>
              <w:bottom w:val="single" w:sz="4" w:space="0" w:color="auto"/>
            </w:tcBorders>
          </w:tcPr>
          <w:p w:rsidR="0002503B" w:rsidRPr="00875208" w:rsidRDefault="0002503B" w:rsidP="00F15864">
            <w:pPr>
              <w:spacing w:before="120"/>
              <w:jc w:val="center"/>
              <w:rPr>
                <w:sz w:val="24"/>
                <w:szCs w:val="24"/>
              </w:rPr>
            </w:pPr>
            <w:r w:rsidRPr="00875208">
              <w:rPr>
                <w:sz w:val="24"/>
                <w:szCs w:val="24"/>
              </w:rPr>
              <w:t>Sub-score</w:t>
            </w:r>
          </w:p>
        </w:tc>
        <w:tc>
          <w:tcPr>
            <w:tcW w:w="529" w:type="dxa"/>
            <w:tcBorders>
              <w:bottom w:val="single" w:sz="4" w:space="0" w:color="auto"/>
            </w:tcBorders>
          </w:tcPr>
          <w:p w:rsidR="0002503B" w:rsidRPr="00875208" w:rsidRDefault="008A5CD8" w:rsidP="00F15864">
            <w:pPr>
              <w:spacing w:before="120"/>
              <w:jc w:val="center"/>
              <w:rPr>
                <w:b/>
                <w:sz w:val="24"/>
                <w:szCs w:val="24"/>
              </w:rPr>
            </w:pPr>
            <w:r w:rsidRPr="00875208">
              <w:rPr>
                <w:b/>
                <w:sz w:val="24"/>
                <w:szCs w:val="24"/>
              </w:rPr>
              <w:t>20</w:t>
            </w:r>
          </w:p>
        </w:tc>
      </w:tr>
      <w:tr w:rsidR="0002503B" w:rsidRPr="00875208"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rsidR="0002503B" w:rsidRPr="00875208" w:rsidRDefault="00F15864" w:rsidP="00F15864">
            <w:pPr>
              <w:spacing w:before="120"/>
              <w:ind w:left="340" w:hanging="340"/>
              <w:rPr>
                <w:sz w:val="24"/>
                <w:szCs w:val="24"/>
              </w:rPr>
            </w:pPr>
            <w:r w:rsidRPr="00875208">
              <w:rPr>
                <w:sz w:val="24"/>
                <w:szCs w:val="24"/>
              </w:rPr>
              <w:t xml:space="preserve">2.1 </w:t>
            </w:r>
            <w:r w:rsidR="0002503B" w:rsidRPr="00875208">
              <w:rPr>
                <w:sz w:val="24"/>
                <w:szCs w:val="24"/>
              </w:rPr>
              <w:t xml:space="preserve">How coherent is the overall design of the action? </w:t>
            </w:r>
          </w:p>
          <w:p w:rsidR="0002503B" w:rsidRPr="00875208" w:rsidRDefault="0002503B" w:rsidP="00F15864">
            <w:pPr>
              <w:spacing w:before="120"/>
              <w:ind w:left="284"/>
              <w:rPr>
                <w:sz w:val="24"/>
                <w:szCs w:val="24"/>
              </w:rPr>
            </w:pPr>
            <w:r w:rsidRPr="00875208">
              <w:rPr>
                <w:sz w:val="24"/>
                <w:szCs w:val="24"/>
              </w:rPr>
              <w:t xml:space="preserve">In particular, does it reflect the analysis of the problems involved, take into account external factors and relevant stakeholders? </w:t>
            </w:r>
          </w:p>
        </w:tc>
        <w:tc>
          <w:tcPr>
            <w:tcW w:w="1260" w:type="dxa"/>
            <w:tcBorders>
              <w:top w:val="single" w:sz="4" w:space="0" w:color="auto"/>
              <w:left w:val="single" w:sz="4" w:space="0" w:color="auto"/>
              <w:bottom w:val="single" w:sz="4" w:space="0" w:color="auto"/>
              <w:right w:val="single" w:sz="4" w:space="0" w:color="auto"/>
            </w:tcBorders>
          </w:tcPr>
          <w:p w:rsidR="0002503B" w:rsidRPr="00875208" w:rsidRDefault="000636F3" w:rsidP="00F15864">
            <w:pPr>
              <w:spacing w:before="120"/>
              <w:jc w:val="center"/>
              <w:rPr>
                <w:sz w:val="24"/>
                <w:szCs w:val="24"/>
              </w:rPr>
            </w:pPr>
            <w:r w:rsidRPr="00875208">
              <w:rPr>
                <w:sz w:val="24"/>
                <w:szCs w:val="24"/>
              </w:rPr>
              <w:t>5x2**</w:t>
            </w:r>
          </w:p>
        </w:tc>
        <w:tc>
          <w:tcPr>
            <w:tcW w:w="529" w:type="dxa"/>
            <w:vMerge w:val="restart"/>
            <w:tcBorders>
              <w:top w:val="single" w:sz="4" w:space="0" w:color="auto"/>
              <w:left w:val="single" w:sz="4" w:space="0" w:color="auto"/>
              <w:right w:val="single" w:sz="4" w:space="0" w:color="auto"/>
            </w:tcBorders>
            <w:shd w:val="clear" w:color="auto" w:fill="auto"/>
          </w:tcPr>
          <w:p w:rsidR="0002503B" w:rsidRPr="00875208" w:rsidRDefault="0002503B" w:rsidP="00F15864">
            <w:pPr>
              <w:spacing w:before="120"/>
              <w:jc w:val="center"/>
              <w:rPr>
                <w:sz w:val="24"/>
                <w:szCs w:val="24"/>
                <w:u w:val="single"/>
              </w:rPr>
            </w:pPr>
          </w:p>
        </w:tc>
      </w:tr>
      <w:tr w:rsidR="0002503B" w:rsidRPr="00875208"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rsidR="0002503B" w:rsidRPr="00875208" w:rsidRDefault="00F15864" w:rsidP="00F15864">
            <w:pPr>
              <w:spacing w:before="120"/>
              <w:ind w:left="426" w:hanging="426"/>
              <w:rPr>
                <w:sz w:val="24"/>
                <w:szCs w:val="24"/>
              </w:rPr>
            </w:pPr>
            <w:r w:rsidRPr="00875208">
              <w:rPr>
                <w:sz w:val="24"/>
                <w:szCs w:val="24"/>
              </w:rPr>
              <w:t xml:space="preserve">2.2 </w:t>
            </w:r>
            <w:r w:rsidR="0002503B" w:rsidRPr="00875208">
              <w:rPr>
                <w:sz w:val="24"/>
                <w:szCs w:val="24"/>
              </w:rPr>
              <w:t>Is the action feasible and consistent in relation to the objectives and expected results?</w:t>
            </w:r>
          </w:p>
        </w:tc>
        <w:tc>
          <w:tcPr>
            <w:tcW w:w="1260" w:type="dxa"/>
            <w:tcBorders>
              <w:top w:val="single" w:sz="4" w:space="0" w:color="auto"/>
              <w:left w:val="single" w:sz="4" w:space="0" w:color="auto"/>
              <w:right w:val="single" w:sz="4" w:space="0" w:color="auto"/>
            </w:tcBorders>
          </w:tcPr>
          <w:p w:rsidR="0002503B" w:rsidRPr="00875208" w:rsidRDefault="000636F3" w:rsidP="00F15864">
            <w:pPr>
              <w:spacing w:before="120"/>
              <w:jc w:val="center"/>
              <w:rPr>
                <w:sz w:val="24"/>
                <w:szCs w:val="24"/>
              </w:rPr>
            </w:pPr>
            <w:r w:rsidRPr="00875208">
              <w:rPr>
                <w:sz w:val="24"/>
                <w:szCs w:val="24"/>
              </w:rPr>
              <w:t>5x2**</w:t>
            </w:r>
          </w:p>
        </w:tc>
        <w:tc>
          <w:tcPr>
            <w:tcW w:w="529" w:type="dxa"/>
            <w:vMerge/>
            <w:tcBorders>
              <w:left w:val="single" w:sz="4" w:space="0" w:color="auto"/>
              <w:right w:val="single" w:sz="4" w:space="0" w:color="auto"/>
            </w:tcBorders>
            <w:shd w:val="clear" w:color="auto" w:fill="auto"/>
          </w:tcPr>
          <w:p w:rsidR="0002503B" w:rsidRPr="00875208" w:rsidRDefault="0002503B" w:rsidP="00F15864">
            <w:pPr>
              <w:spacing w:before="120"/>
              <w:jc w:val="center"/>
              <w:rPr>
                <w:sz w:val="24"/>
                <w:szCs w:val="24"/>
                <w:u w:val="single"/>
              </w:rPr>
            </w:pPr>
          </w:p>
        </w:tc>
      </w:tr>
      <w:tr w:rsidR="0002503B" w:rsidRPr="00875208" w:rsidTr="00682B40">
        <w:trPr>
          <w:trHeight w:val="395"/>
        </w:trPr>
        <w:tc>
          <w:tcPr>
            <w:tcW w:w="8208" w:type="dxa"/>
            <w:tcBorders>
              <w:top w:val="single" w:sz="4" w:space="0" w:color="auto"/>
            </w:tcBorders>
          </w:tcPr>
          <w:p w:rsidR="0002503B" w:rsidRPr="00875208" w:rsidRDefault="0002503B" w:rsidP="00F15864">
            <w:pPr>
              <w:spacing w:before="120"/>
              <w:jc w:val="right"/>
              <w:rPr>
                <w:b/>
                <w:sz w:val="24"/>
                <w:szCs w:val="24"/>
              </w:rPr>
            </w:pPr>
            <w:r w:rsidRPr="00875208">
              <w:rPr>
                <w:b/>
                <w:sz w:val="24"/>
                <w:szCs w:val="24"/>
              </w:rPr>
              <w:t>TOTAL SCORE</w:t>
            </w:r>
          </w:p>
        </w:tc>
        <w:tc>
          <w:tcPr>
            <w:tcW w:w="1260" w:type="dxa"/>
          </w:tcPr>
          <w:p w:rsidR="0002503B" w:rsidRPr="00875208" w:rsidRDefault="0002503B" w:rsidP="00F15864">
            <w:pPr>
              <w:spacing w:before="120"/>
              <w:jc w:val="center"/>
              <w:rPr>
                <w:b/>
                <w:sz w:val="24"/>
                <w:szCs w:val="24"/>
              </w:rPr>
            </w:pPr>
          </w:p>
        </w:tc>
        <w:tc>
          <w:tcPr>
            <w:tcW w:w="529" w:type="dxa"/>
          </w:tcPr>
          <w:p w:rsidR="0002503B" w:rsidRPr="00875208" w:rsidRDefault="0002503B" w:rsidP="00F15864">
            <w:pPr>
              <w:spacing w:before="120"/>
              <w:jc w:val="center"/>
              <w:rPr>
                <w:b/>
                <w:sz w:val="24"/>
                <w:szCs w:val="24"/>
              </w:rPr>
            </w:pPr>
            <w:r w:rsidRPr="00875208">
              <w:rPr>
                <w:b/>
                <w:sz w:val="24"/>
                <w:szCs w:val="24"/>
              </w:rPr>
              <w:t>50</w:t>
            </w:r>
          </w:p>
        </w:tc>
      </w:tr>
    </w:tbl>
    <w:p w:rsidR="00400B42" w:rsidRPr="00875208" w:rsidRDefault="00790B79" w:rsidP="006F280A">
      <w:pPr>
        <w:rPr>
          <w:sz w:val="24"/>
          <w:szCs w:val="24"/>
        </w:rPr>
      </w:pPr>
      <w:r w:rsidRPr="00875208">
        <w:rPr>
          <w:sz w:val="24"/>
          <w:szCs w:val="24"/>
        </w:rPr>
        <w:t>**the</w:t>
      </w:r>
      <w:r w:rsidR="000636F3" w:rsidRPr="00875208">
        <w:rPr>
          <w:sz w:val="24"/>
          <w:szCs w:val="24"/>
        </w:rPr>
        <w:t>se scores are multiplied by 2 because of their importance</w:t>
      </w:r>
    </w:p>
    <w:p w:rsidR="00400B42" w:rsidRPr="00875208" w:rsidRDefault="00400B42" w:rsidP="006F280A">
      <w:pPr>
        <w:rPr>
          <w:sz w:val="24"/>
          <w:szCs w:val="24"/>
        </w:rPr>
      </w:pPr>
      <w:r w:rsidRPr="00875208">
        <w:rPr>
          <w:sz w:val="24"/>
          <w:szCs w:val="24"/>
        </w:rPr>
        <w:t xml:space="preserve">Once all Concept Notes have been assessed, a list will be </w:t>
      </w:r>
      <w:r w:rsidR="00C85211" w:rsidRPr="00875208">
        <w:rPr>
          <w:sz w:val="24"/>
          <w:szCs w:val="24"/>
        </w:rPr>
        <w:t xml:space="preserve">drawn up </w:t>
      </w:r>
      <w:r w:rsidRPr="00875208">
        <w:rPr>
          <w:sz w:val="24"/>
          <w:szCs w:val="24"/>
        </w:rPr>
        <w:t xml:space="preserve">with the proposed actions ranked according to their total score. </w:t>
      </w:r>
    </w:p>
    <w:p w:rsidR="00400B42" w:rsidRPr="00875208" w:rsidRDefault="001A4F8E" w:rsidP="006F280A">
      <w:pPr>
        <w:rPr>
          <w:sz w:val="24"/>
          <w:szCs w:val="24"/>
        </w:rPr>
      </w:pPr>
      <w:r w:rsidRPr="00875208">
        <w:rPr>
          <w:sz w:val="24"/>
          <w:szCs w:val="24"/>
        </w:rPr>
        <w:t>First</w:t>
      </w:r>
      <w:r w:rsidR="00F90A41" w:rsidRPr="00875208">
        <w:rPr>
          <w:sz w:val="24"/>
          <w:szCs w:val="24"/>
        </w:rPr>
        <w:t>ly</w:t>
      </w:r>
      <w:r w:rsidR="008F021C" w:rsidRPr="00875208">
        <w:rPr>
          <w:sz w:val="24"/>
          <w:szCs w:val="24"/>
        </w:rPr>
        <w:t xml:space="preserve">, </w:t>
      </w:r>
      <w:r w:rsidR="0074095C" w:rsidRPr="00875208">
        <w:rPr>
          <w:sz w:val="24"/>
          <w:szCs w:val="24"/>
        </w:rPr>
        <w:t>o</w:t>
      </w:r>
      <w:r w:rsidR="00400B42" w:rsidRPr="00875208">
        <w:rPr>
          <w:sz w:val="24"/>
          <w:szCs w:val="24"/>
        </w:rPr>
        <w:t xml:space="preserve">nly the Concept Notes </w:t>
      </w:r>
      <w:r w:rsidR="00C85211" w:rsidRPr="00875208">
        <w:rPr>
          <w:sz w:val="24"/>
          <w:szCs w:val="24"/>
        </w:rPr>
        <w:t>with</w:t>
      </w:r>
      <w:r w:rsidR="00400B42" w:rsidRPr="00875208">
        <w:rPr>
          <w:sz w:val="24"/>
          <w:szCs w:val="24"/>
        </w:rPr>
        <w:t xml:space="preserve"> a score of a</w:t>
      </w:r>
      <w:r w:rsidR="00C85211" w:rsidRPr="00875208">
        <w:rPr>
          <w:sz w:val="24"/>
          <w:szCs w:val="24"/>
        </w:rPr>
        <w:t xml:space="preserve">t least </w:t>
      </w:r>
      <w:r w:rsidR="00682B40" w:rsidRPr="00875208">
        <w:rPr>
          <w:sz w:val="24"/>
          <w:szCs w:val="24"/>
        </w:rPr>
        <w:t xml:space="preserve">30 </w:t>
      </w:r>
      <w:r w:rsidR="00400B42" w:rsidRPr="00875208">
        <w:rPr>
          <w:sz w:val="24"/>
          <w:szCs w:val="24"/>
        </w:rPr>
        <w:t xml:space="preserve">will be considered for pre-selection. </w:t>
      </w:r>
    </w:p>
    <w:p w:rsidR="00806B63" w:rsidRPr="00875208" w:rsidRDefault="00806B63" w:rsidP="006F280A">
      <w:pPr>
        <w:rPr>
          <w:sz w:val="24"/>
          <w:szCs w:val="24"/>
        </w:rPr>
      </w:pPr>
      <w:r w:rsidRPr="00875208">
        <w:rPr>
          <w:sz w:val="24"/>
          <w:szCs w:val="24"/>
        </w:rPr>
        <w:t>Secondly, the number of Concept Notes will be reduced, taking account of the ranking, to the number of Concept Notes whose total aggregate amount of requested contributions is equal to 200%</w:t>
      </w:r>
      <w:r w:rsidR="00CA1EA5">
        <w:rPr>
          <w:sz w:val="24"/>
          <w:szCs w:val="24"/>
        </w:rPr>
        <w:t xml:space="preserve"> </w:t>
      </w:r>
      <w:r w:rsidRPr="00875208">
        <w:rPr>
          <w:sz w:val="24"/>
          <w:szCs w:val="24"/>
        </w:rPr>
        <w:t>of the available budget for this Call for Proposals. The amount of requested contributions of each concept note will be based on the indicative financial envelopes for each lot.</w:t>
      </w:r>
    </w:p>
    <w:p w:rsidR="008A0215" w:rsidRDefault="00A36BA3" w:rsidP="00DA607F">
      <w:pPr>
        <w:rPr>
          <w:sz w:val="24"/>
          <w:szCs w:val="24"/>
        </w:rPr>
      </w:pPr>
      <w:r w:rsidRPr="00875208">
        <w:rPr>
          <w:sz w:val="24"/>
          <w:szCs w:val="24"/>
        </w:rPr>
        <w:t xml:space="preserve">After </w:t>
      </w:r>
      <w:r w:rsidR="00787F03" w:rsidRPr="00875208">
        <w:rPr>
          <w:sz w:val="24"/>
          <w:szCs w:val="24"/>
        </w:rPr>
        <w:t xml:space="preserve">the </w:t>
      </w:r>
      <w:r w:rsidRPr="00875208">
        <w:rPr>
          <w:sz w:val="24"/>
          <w:szCs w:val="24"/>
        </w:rPr>
        <w:t xml:space="preserve">evaluation of </w:t>
      </w:r>
      <w:r w:rsidR="00E17C2A" w:rsidRPr="00875208">
        <w:rPr>
          <w:sz w:val="24"/>
          <w:szCs w:val="24"/>
        </w:rPr>
        <w:t>Concept Note</w:t>
      </w:r>
      <w:r w:rsidRPr="00875208">
        <w:rPr>
          <w:sz w:val="24"/>
          <w:szCs w:val="24"/>
        </w:rPr>
        <w:t>s</w:t>
      </w:r>
      <w:r w:rsidR="00787F03" w:rsidRPr="00875208">
        <w:rPr>
          <w:sz w:val="24"/>
          <w:szCs w:val="24"/>
        </w:rPr>
        <w:t>, the Contracting Authority will send letter</w:t>
      </w:r>
      <w:r w:rsidRPr="00875208">
        <w:rPr>
          <w:sz w:val="24"/>
          <w:szCs w:val="24"/>
        </w:rPr>
        <w:t>s</w:t>
      </w:r>
      <w:r w:rsidR="00787F03" w:rsidRPr="00875208">
        <w:rPr>
          <w:sz w:val="24"/>
          <w:szCs w:val="24"/>
        </w:rPr>
        <w:t xml:space="preserve"> to all applicants, indicating whether their application was submitted </w:t>
      </w:r>
      <w:r w:rsidRPr="00875208">
        <w:rPr>
          <w:sz w:val="24"/>
          <w:szCs w:val="24"/>
        </w:rPr>
        <w:t>by</w:t>
      </w:r>
      <w:r w:rsidR="00787F03" w:rsidRPr="00875208">
        <w:rPr>
          <w:sz w:val="24"/>
          <w:szCs w:val="24"/>
        </w:rPr>
        <w:t xml:space="preserve"> the deadline, informing them of the reference number they have been allocated</w:t>
      </w:r>
      <w:r w:rsidRPr="00875208">
        <w:rPr>
          <w:sz w:val="24"/>
          <w:szCs w:val="24"/>
        </w:rPr>
        <w:t>,</w:t>
      </w:r>
      <w:r w:rsidR="00787F03" w:rsidRPr="00875208">
        <w:rPr>
          <w:sz w:val="24"/>
          <w:szCs w:val="24"/>
        </w:rPr>
        <w:t xml:space="preserve"> whether </w:t>
      </w:r>
      <w:r w:rsidR="009C67A1" w:rsidRPr="00875208">
        <w:rPr>
          <w:sz w:val="24"/>
          <w:szCs w:val="24"/>
        </w:rPr>
        <w:t>the Concept Note w</w:t>
      </w:r>
      <w:r w:rsidRPr="00875208">
        <w:rPr>
          <w:sz w:val="24"/>
          <w:szCs w:val="24"/>
        </w:rPr>
        <w:t>as</w:t>
      </w:r>
      <w:r w:rsidR="009C67A1" w:rsidRPr="00875208">
        <w:rPr>
          <w:sz w:val="24"/>
          <w:szCs w:val="24"/>
        </w:rPr>
        <w:t xml:space="preserve"> evaluated and the results of that evaluation. </w:t>
      </w:r>
      <w:r w:rsidR="00400B42" w:rsidRPr="00875208">
        <w:rPr>
          <w:sz w:val="24"/>
          <w:szCs w:val="24"/>
        </w:rPr>
        <w:t>The pre</w:t>
      </w:r>
      <w:r w:rsidR="0040484C" w:rsidRPr="00875208">
        <w:rPr>
          <w:sz w:val="24"/>
          <w:szCs w:val="24"/>
        </w:rPr>
        <w:t>-</w:t>
      </w:r>
      <w:r w:rsidR="00400B42" w:rsidRPr="00875208">
        <w:rPr>
          <w:sz w:val="24"/>
          <w:szCs w:val="24"/>
        </w:rPr>
        <w:t>selected applicants</w:t>
      </w:r>
      <w:r w:rsidR="00F16D05">
        <w:rPr>
          <w:sz w:val="24"/>
          <w:szCs w:val="24"/>
        </w:rPr>
        <w:t xml:space="preserve"> </w:t>
      </w:r>
      <w:r w:rsidR="00400B42" w:rsidRPr="00875208">
        <w:rPr>
          <w:sz w:val="24"/>
          <w:szCs w:val="24"/>
        </w:rPr>
        <w:t xml:space="preserve">will subsequently be invited to submit full </w:t>
      </w:r>
      <w:r w:rsidR="006459C5" w:rsidRPr="00875208">
        <w:rPr>
          <w:sz w:val="24"/>
          <w:szCs w:val="24"/>
        </w:rPr>
        <w:t>application</w:t>
      </w:r>
      <w:r w:rsidR="00400B42" w:rsidRPr="00875208">
        <w:rPr>
          <w:sz w:val="24"/>
          <w:szCs w:val="24"/>
        </w:rPr>
        <w:t>s.</w:t>
      </w:r>
    </w:p>
    <w:p w:rsidR="00B00326" w:rsidRDefault="00B00326" w:rsidP="00DA607F">
      <w:pPr>
        <w:rPr>
          <w:sz w:val="24"/>
          <w:szCs w:val="24"/>
        </w:rPr>
      </w:pPr>
    </w:p>
    <w:p w:rsidR="00B00326" w:rsidRPr="008A0215" w:rsidRDefault="00B00326" w:rsidP="00DA607F">
      <w:pPr>
        <w:rPr>
          <w:sz w:val="24"/>
          <w:szCs w:val="24"/>
        </w:rPr>
      </w:pPr>
    </w:p>
    <w:p w:rsidR="007A3169" w:rsidRPr="00875208" w:rsidRDefault="002E65D7" w:rsidP="00DA607F">
      <w:pPr>
        <w:rPr>
          <w:b/>
          <w:sz w:val="24"/>
          <w:szCs w:val="24"/>
        </w:rPr>
      </w:pPr>
      <w:r w:rsidRPr="00875208">
        <w:rPr>
          <w:b/>
          <w:sz w:val="24"/>
          <w:szCs w:val="24"/>
        </w:rPr>
        <w:t xml:space="preserve">(2) </w:t>
      </w:r>
      <w:r w:rsidR="009A51CA" w:rsidRPr="00875208">
        <w:rPr>
          <w:b/>
          <w:sz w:val="24"/>
          <w:szCs w:val="24"/>
        </w:rPr>
        <w:t xml:space="preserve">STEP </w:t>
      </w:r>
      <w:r w:rsidR="00B66332" w:rsidRPr="00875208">
        <w:rPr>
          <w:b/>
          <w:sz w:val="24"/>
          <w:szCs w:val="24"/>
        </w:rPr>
        <w:t>2</w:t>
      </w:r>
      <w:r w:rsidR="009A51CA" w:rsidRPr="00875208">
        <w:rPr>
          <w:b/>
          <w:sz w:val="24"/>
          <w:szCs w:val="24"/>
        </w:rPr>
        <w:t xml:space="preserve">: </w:t>
      </w:r>
      <w:r w:rsidR="00C61B44" w:rsidRPr="00875208">
        <w:rPr>
          <w:b/>
          <w:sz w:val="24"/>
          <w:szCs w:val="24"/>
        </w:rPr>
        <w:t>EVALU</w:t>
      </w:r>
      <w:r w:rsidR="00AA6F1C" w:rsidRPr="00875208">
        <w:rPr>
          <w:b/>
          <w:sz w:val="24"/>
          <w:szCs w:val="24"/>
        </w:rPr>
        <w:t>A</w:t>
      </w:r>
      <w:r w:rsidR="00C61B44" w:rsidRPr="00875208">
        <w:rPr>
          <w:b/>
          <w:sz w:val="24"/>
          <w:szCs w:val="24"/>
        </w:rPr>
        <w:t xml:space="preserve">TION </w:t>
      </w:r>
      <w:r w:rsidR="001566CE" w:rsidRPr="00875208">
        <w:rPr>
          <w:b/>
          <w:sz w:val="24"/>
          <w:szCs w:val="24"/>
        </w:rPr>
        <w:t xml:space="preserve">OF THE </w:t>
      </w:r>
      <w:r w:rsidR="0084479D" w:rsidRPr="00875208">
        <w:rPr>
          <w:b/>
          <w:sz w:val="24"/>
          <w:szCs w:val="24"/>
        </w:rPr>
        <w:t xml:space="preserve">FULL </w:t>
      </w:r>
      <w:r w:rsidR="002A730B" w:rsidRPr="00875208">
        <w:rPr>
          <w:b/>
          <w:sz w:val="24"/>
          <w:szCs w:val="24"/>
        </w:rPr>
        <w:t>APPLICATION</w:t>
      </w:r>
    </w:p>
    <w:p w:rsidR="00047C7D" w:rsidRPr="00875208" w:rsidRDefault="00047C7D" w:rsidP="006F280A">
      <w:pPr>
        <w:rPr>
          <w:sz w:val="24"/>
          <w:szCs w:val="24"/>
        </w:rPr>
      </w:pPr>
      <w:r w:rsidRPr="00875208">
        <w:rPr>
          <w:sz w:val="24"/>
          <w:szCs w:val="24"/>
        </w:rPr>
        <w:t>First</w:t>
      </w:r>
      <w:r w:rsidR="00C4575C" w:rsidRPr="00875208">
        <w:rPr>
          <w:sz w:val="24"/>
          <w:szCs w:val="24"/>
        </w:rPr>
        <w:t>ly</w:t>
      </w:r>
      <w:r w:rsidRPr="00875208">
        <w:rPr>
          <w:sz w:val="24"/>
          <w:szCs w:val="24"/>
        </w:rPr>
        <w:t>, the following will be assessed:</w:t>
      </w:r>
    </w:p>
    <w:p w:rsidR="00047C7D" w:rsidRPr="00875208" w:rsidRDefault="00A36BA3" w:rsidP="00904785">
      <w:pPr>
        <w:numPr>
          <w:ilvl w:val="0"/>
          <w:numId w:val="11"/>
        </w:numPr>
        <w:rPr>
          <w:sz w:val="24"/>
          <w:szCs w:val="24"/>
        </w:rPr>
      </w:pPr>
      <w:r w:rsidRPr="00875208">
        <w:rPr>
          <w:sz w:val="24"/>
          <w:szCs w:val="24"/>
        </w:rPr>
        <w:t>Compliance with t</w:t>
      </w:r>
      <w:r w:rsidR="00047C7D" w:rsidRPr="00875208">
        <w:rPr>
          <w:sz w:val="24"/>
          <w:szCs w:val="24"/>
        </w:rPr>
        <w:t xml:space="preserve">he submission deadline. If the deadline has not been </w:t>
      </w:r>
      <w:r w:rsidR="00F149E4" w:rsidRPr="00875208">
        <w:rPr>
          <w:sz w:val="24"/>
          <w:szCs w:val="24"/>
        </w:rPr>
        <w:t xml:space="preserve">met, </w:t>
      </w:r>
      <w:r w:rsidR="00047C7D" w:rsidRPr="00875208">
        <w:rPr>
          <w:sz w:val="24"/>
          <w:szCs w:val="24"/>
        </w:rPr>
        <w:t xml:space="preserve">the application </w:t>
      </w:r>
      <w:r w:rsidR="00793AC4" w:rsidRPr="00875208">
        <w:rPr>
          <w:sz w:val="24"/>
          <w:szCs w:val="24"/>
        </w:rPr>
        <w:t>will automatically be rejected.</w:t>
      </w:r>
    </w:p>
    <w:p w:rsidR="00047C7D" w:rsidRPr="00875208" w:rsidRDefault="00047C7D" w:rsidP="00904785">
      <w:pPr>
        <w:numPr>
          <w:ilvl w:val="0"/>
          <w:numId w:val="11"/>
        </w:numPr>
        <w:rPr>
          <w:sz w:val="24"/>
          <w:szCs w:val="24"/>
        </w:rPr>
      </w:pPr>
      <w:r w:rsidRPr="00875208">
        <w:rPr>
          <w:sz w:val="24"/>
          <w:szCs w:val="24"/>
        </w:rPr>
        <w:t>The full application form satisfies all the criteria specified in points 1-</w:t>
      </w:r>
      <w:r w:rsidR="00B971F7" w:rsidRPr="00875208">
        <w:rPr>
          <w:sz w:val="24"/>
          <w:szCs w:val="24"/>
        </w:rPr>
        <w:t xml:space="preserve">9 </w:t>
      </w:r>
      <w:r w:rsidRPr="00875208">
        <w:rPr>
          <w:sz w:val="24"/>
          <w:szCs w:val="24"/>
        </w:rPr>
        <w:t xml:space="preserve">of the Checklist (Section </w:t>
      </w:r>
      <w:r w:rsidR="00B971F7" w:rsidRPr="00875208">
        <w:rPr>
          <w:sz w:val="24"/>
          <w:szCs w:val="24"/>
        </w:rPr>
        <w:t xml:space="preserve">7 </w:t>
      </w:r>
      <w:r w:rsidRPr="00875208">
        <w:rPr>
          <w:sz w:val="24"/>
          <w:szCs w:val="24"/>
        </w:rPr>
        <w:t xml:space="preserve">of </w:t>
      </w:r>
      <w:r w:rsidR="00896ECA" w:rsidRPr="00875208">
        <w:rPr>
          <w:sz w:val="24"/>
          <w:szCs w:val="24"/>
        </w:rPr>
        <w:t>Part</w:t>
      </w:r>
      <w:r w:rsidRPr="00875208">
        <w:rPr>
          <w:sz w:val="24"/>
          <w:szCs w:val="24"/>
        </w:rPr>
        <w:t xml:space="preserve"> B of the grant application form). If any of the requested information is missing or is incorrect, the application may be rejected on that </w:t>
      </w:r>
      <w:r w:rsidRPr="00875208">
        <w:rPr>
          <w:b/>
          <w:sz w:val="24"/>
          <w:szCs w:val="24"/>
          <w:u w:val="single"/>
        </w:rPr>
        <w:t>sole</w:t>
      </w:r>
      <w:r w:rsidRPr="00875208">
        <w:rPr>
          <w:sz w:val="24"/>
          <w:szCs w:val="24"/>
        </w:rPr>
        <w:t xml:space="preserve"> basis and the application will not be evaluated further.</w:t>
      </w:r>
    </w:p>
    <w:p w:rsidR="0007408E" w:rsidRPr="00875208" w:rsidRDefault="00F149E4" w:rsidP="006F280A">
      <w:pPr>
        <w:rPr>
          <w:sz w:val="24"/>
          <w:szCs w:val="24"/>
        </w:rPr>
      </w:pPr>
      <w:r w:rsidRPr="00875208">
        <w:rPr>
          <w:sz w:val="24"/>
          <w:szCs w:val="24"/>
        </w:rPr>
        <w:t>T</w:t>
      </w:r>
      <w:r w:rsidR="00047C7D" w:rsidRPr="00875208">
        <w:rPr>
          <w:sz w:val="24"/>
          <w:szCs w:val="24"/>
        </w:rPr>
        <w:t>he quality of the applications, including the proposed budget and capacity of the applicant</w:t>
      </w:r>
      <w:r w:rsidR="000D40CC" w:rsidRPr="00875208">
        <w:rPr>
          <w:sz w:val="24"/>
          <w:szCs w:val="24"/>
        </w:rPr>
        <w:t>s</w:t>
      </w:r>
      <w:r w:rsidR="00047C7D" w:rsidRPr="00875208">
        <w:rPr>
          <w:sz w:val="24"/>
          <w:szCs w:val="24"/>
        </w:rPr>
        <w:t xml:space="preserve"> and </w:t>
      </w:r>
      <w:r w:rsidR="000D40CC" w:rsidRPr="00875208">
        <w:rPr>
          <w:sz w:val="24"/>
          <w:szCs w:val="24"/>
        </w:rPr>
        <w:t>affiliated entity(ies)</w:t>
      </w:r>
      <w:r w:rsidR="00047C7D" w:rsidRPr="00875208">
        <w:rPr>
          <w:sz w:val="24"/>
          <w:szCs w:val="24"/>
        </w:rPr>
        <w:t xml:space="preserve">, will be </w:t>
      </w:r>
      <w:r w:rsidRPr="00875208">
        <w:rPr>
          <w:sz w:val="24"/>
          <w:szCs w:val="24"/>
        </w:rPr>
        <w:t>evaluated using</w:t>
      </w:r>
      <w:r w:rsidR="00047C7D" w:rsidRPr="00875208">
        <w:rPr>
          <w:sz w:val="24"/>
          <w:szCs w:val="24"/>
        </w:rPr>
        <w:t xml:space="preserve"> the evaluation criteria in the </w:t>
      </w:r>
      <w:r w:rsidRPr="00875208">
        <w:rPr>
          <w:sz w:val="24"/>
          <w:szCs w:val="24"/>
        </w:rPr>
        <w:t>e</w:t>
      </w:r>
      <w:r w:rsidR="00047C7D" w:rsidRPr="00875208">
        <w:rPr>
          <w:sz w:val="24"/>
          <w:szCs w:val="24"/>
        </w:rPr>
        <w:t xml:space="preserve">valuation </w:t>
      </w:r>
      <w:r w:rsidRPr="00875208">
        <w:rPr>
          <w:sz w:val="24"/>
          <w:szCs w:val="24"/>
        </w:rPr>
        <w:t>g</w:t>
      </w:r>
      <w:r w:rsidR="00047C7D" w:rsidRPr="00875208">
        <w:rPr>
          <w:sz w:val="24"/>
          <w:szCs w:val="24"/>
        </w:rPr>
        <w:t>rid below. There are two types of evaluation criteria: selection and award criteria.</w:t>
      </w:r>
    </w:p>
    <w:p w:rsidR="0007408E" w:rsidRPr="00875208" w:rsidRDefault="0007408E" w:rsidP="006F280A">
      <w:pPr>
        <w:rPr>
          <w:sz w:val="24"/>
          <w:szCs w:val="24"/>
        </w:rPr>
      </w:pPr>
      <w:r w:rsidRPr="00875208">
        <w:rPr>
          <w:b/>
          <w:sz w:val="24"/>
          <w:szCs w:val="24"/>
          <w:u w:val="single"/>
        </w:rPr>
        <w:t>The selection criteria</w:t>
      </w:r>
      <w:r w:rsidRPr="00875208">
        <w:rPr>
          <w:sz w:val="24"/>
          <w:szCs w:val="24"/>
        </w:rPr>
        <w:t xml:space="preserve"> help </w:t>
      </w:r>
      <w:r w:rsidR="00A66639" w:rsidRPr="00875208">
        <w:rPr>
          <w:sz w:val="24"/>
          <w:szCs w:val="24"/>
        </w:rPr>
        <w:t xml:space="preserve">to </w:t>
      </w:r>
      <w:r w:rsidRPr="00875208">
        <w:rPr>
          <w:sz w:val="24"/>
          <w:szCs w:val="24"/>
        </w:rPr>
        <w:t>evaluate the applicant</w:t>
      </w:r>
      <w:r w:rsidR="00E94856" w:rsidRPr="00875208">
        <w:rPr>
          <w:sz w:val="24"/>
          <w:szCs w:val="24"/>
        </w:rPr>
        <w:t>(s)</w:t>
      </w:r>
      <w:r w:rsidR="00544E5D" w:rsidRPr="00875208">
        <w:rPr>
          <w:sz w:val="24"/>
          <w:szCs w:val="24"/>
        </w:rPr>
        <w:t>'s</w:t>
      </w:r>
      <w:r w:rsidR="00FA2479" w:rsidRPr="00875208">
        <w:rPr>
          <w:sz w:val="24"/>
          <w:szCs w:val="24"/>
        </w:rPr>
        <w:t xml:space="preserve"> and affiliated en</w:t>
      </w:r>
      <w:r w:rsidR="00A8066A" w:rsidRPr="00875208">
        <w:rPr>
          <w:sz w:val="24"/>
          <w:szCs w:val="24"/>
        </w:rPr>
        <w:t>t</w:t>
      </w:r>
      <w:r w:rsidR="00FA2479" w:rsidRPr="00875208">
        <w:rPr>
          <w:sz w:val="24"/>
          <w:szCs w:val="24"/>
        </w:rPr>
        <w:t>ity(ies)</w:t>
      </w:r>
      <w:r w:rsidR="003664DD" w:rsidRPr="00875208">
        <w:rPr>
          <w:sz w:val="24"/>
          <w:szCs w:val="24"/>
        </w:rPr>
        <w:t>'s</w:t>
      </w:r>
      <w:r w:rsidRPr="00875208">
        <w:rPr>
          <w:sz w:val="24"/>
          <w:szCs w:val="24"/>
        </w:rPr>
        <w:t xml:space="preserve"> operational capacity</w:t>
      </w:r>
      <w:r w:rsidR="000C1624" w:rsidRPr="00875208">
        <w:rPr>
          <w:sz w:val="24"/>
          <w:szCs w:val="24"/>
        </w:rPr>
        <w:t xml:space="preserve"> and the applicant</w:t>
      </w:r>
      <w:r w:rsidR="00544E5D" w:rsidRPr="00875208">
        <w:rPr>
          <w:sz w:val="24"/>
          <w:szCs w:val="24"/>
        </w:rPr>
        <w:t>'s</w:t>
      </w:r>
      <w:r w:rsidR="000C1624" w:rsidRPr="00875208">
        <w:rPr>
          <w:sz w:val="24"/>
          <w:szCs w:val="24"/>
        </w:rPr>
        <w:t xml:space="preserve"> financial capacity and </w:t>
      </w:r>
      <w:r w:rsidRPr="00875208">
        <w:rPr>
          <w:sz w:val="24"/>
          <w:szCs w:val="24"/>
        </w:rPr>
        <w:t>to ensure that they:</w:t>
      </w:r>
    </w:p>
    <w:p w:rsidR="0007408E" w:rsidRPr="00875208" w:rsidRDefault="0007408E" w:rsidP="00904785">
      <w:pPr>
        <w:numPr>
          <w:ilvl w:val="0"/>
          <w:numId w:val="12"/>
        </w:numPr>
        <w:rPr>
          <w:sz w:val="24"/>
          <w:szCs w:val="24"/>
        </w:rPr>
      </w:pPr>
      <w:r w:rsidRPr="00875208">
        <w:rPr>
          <w:sz w:val="24"/>
          <w:szCs w:val="24"/>
        </w:rPr>
        <w:t xml:space="preserve">have stable and sufficient sources of finance to maintain their activity throughout the </w:t>
      </w:r>
      <w:r w:rsidR="00AA2065" w:rsidRPr="00875208">
        <w:rPr>
          <w:sz w:val="24"/>
          <w:szCs w:val="24"/>
        </w:rPr>
        <w:t>proposed</w:t>
      </w:r>
      <w:r w:rsidRPr="00875208">
        <w:rPr>
          <w:sz w:val="24"/>
          <w:szCs w:val="24"/>
        </w:rPr>
        <w:t xml:space="preserve"> action and, where appropriate, to participate in its funding;</w:t>
      </w:r>
    </w:p>
    <w:p w:rsidR="0007408E" w:rsidRPr="00875208" w:rsidRDefault="0007408E" w:rsidP="00904785">
      <w:pPr>
        <w:numPr>
          <w:ilvl w:val="0"/>
          <w:numId w:val="12"/>
        </w:numPr>
        <w:rPr>
          <w:sz w:val="24"/>
          <w:szCs w:val="24"/>
        </w:rPr>
      </w:pPr>
      <w:r w:rsidRPr="00875208">
        <w:rPr>
          <w:sz w:val="24"/>
          <w:szCs w:val="24"/>
        </w:rPr>
        <w:t xml:space="preserve">have the </w:t>
      </w:r>
      <w:r w:rsidR="00543106" w:rsidRPr="00875208">
        <w:rPr>
          <w:sz w:val="24"/>
          <w:szCs w:val="24"/>
        </w:rPr>
        <w:t>management ca</w:t>
      </w:r>
      <w:r w:rsidR="00833F09" w:rsidRPr="00875208">
        <w:rPr>
          <w:sz w:val="24"/>
          <w:szCs w:val="24"/>
        </w:rPr>
        <w:t>p</w:t>
      </w:r>
      <w:r w:rsidR="00543106" w:rsidRPr="00875208">
        <w:rPr>
          <w:sz w:val="24"/>
          <w:szCs w:val="24"/>
        </w:rPr>
        <w:t xml:space="preserve">acity, </w:t>
      </w:r>
      <w:r w:rsidRPr="00875208">
        <w:rPr>
          <w:sz w:val="24"/>
          <w:szCs w:val="24"/>
        </w:rPr>
        <w:t xml:space="preserve">professional competencies and qualifications required to successfully complete the proposed action. This also applies to any </w:t>
      </w:r>
      <w:r w:rsidR="000C1624" w:rsidRPr="00875208">
        <w:rPr>
          <w:sz w:val="24"/>
          <w:szCs w:val="24"/>
        </w:rPr>
        <w:t xml:space="preserve">affiliated entity(ies) </w:t>
      </w:r>
      <w:r w:rsidRPr="00875208">
        <w:rPr>
          <w:sz w:val="24"/>
          <w:szCs w:val="24"/>
        </w:rPr>
        <w:t>of the applicant</w:t>
      </w:r>
      <w:r w:rsidR="000C1624" w:rsidRPr="00875208">
        <w:rPr>
          <w:sz w:val="24"/>
          <w:szCs w:val="24"/>
        </w:rPr>
        <w:t>s</w:t>
      </w:r>
      <w:r w:rsidRPr="00875208">
        <w:rPr>
          <w:sz w:val="24"/>
          <w:szCs w:val="24"/>
        </w:rPr>
        <w:t>.</w:t>
      </w:r>
    </w:p>
    <w:p w:rsidR="0007408E" w:rsidRPr="00875208" w:rsidRDefault="0007408E" w:rsidP="006F280A">
      <w:pPr>
        <w:rPr>
          <w:sz w:val="24"/>
          <w:szCs w:val="24"/>
        </w:rPr>
      </w:pPr>
      <w:r w:rsidRPr="00875208">
        <w:rPr>
          <w:b/>
          <w:sz w:val="24"/>
          <w:szCs w:val="24"/>
          <w:u w:val="single"/>
        </w:rPr>
        <w:t>The award criteria</w:t>
      </w:r>
      <w:r w:rsidR="00F16D05">
        <w:rPr>
          <w:b/>
          <w:sz w:val="24"/>
          <w:szCs w:val="24"/>
          <w:u w:val="single"/>
        </w:rPr>
        <w:t xml:space="preserve"> </w:t>
      </w:r>
      <w:r w:rsidR="006F44FB" w:rsidRPr="00875208">
        <w:rPr>
          <w:sz w:val="24"/>
          <w:szCs w:val="24"/>
        </w:rPr>
        <w:t xml:space="preserve">help to evaluate </w:t>
      </w:r>
      <w:r w:rsidRPr="00875208">
        <w:rPr>
          <w:sz w:val="24"/>
          <w:szCs w:val="24"/>
        </w:rPr>
        <w:t xml:space="preserve">the quality of the </w:t>
      </w:r>
      <w:r w:rsidR="006459C5" w:rsidRPr="00875208">
        <w:rPr>
          <w:sz w:val="24"/>
          <w:szCs w:val="24"/>
        </w:rPr>
        <w:t>application</w:t>
      </w:r>
      <w:r w:rsidRPr="00875208">
        <w:rPr>
          <w:sz w:val="24"/>
          <w:szCs w:val="24"/>
        </w:rPr>
        <w:t xml:space="preserve">s in relation to the objectives and </w:t>
      </w:r>
      <w:r w:rsidR="006C1232" w:rsidRPr="00875208">
        <w:rPr>
          <w:sz w:val="24"/>
          <w:szCs w:val="24"/>
        </w:rPr>
        <w:t xml:space="preserve">priorities, and </w:t>
      </w:r>
      <w:r w:rsidR="006F44FB" w:rsidRPr="00875208">
        <w:rPr>
          <w:sz w:val="24"/>
          <w:szCs w:val="24"/>
        </w:rPr>
        <w:t xml:space="preserve">to award </w:t>
      </w:r>
      <w:r w:rsidR="006C1232" w:rsidRPr="00875208">
        <w:rPr>
          <w:sz w:val="24"/>
          <w:szCs w:val="24"/>
        </w:rPr>
        <w:t>grant</w:t>
      </w:r>
      <w:r w:rsidR="004977D3" w:rsidRPr="00875208">
        <w:rPr>
          <w:sz w:val="24"/>
          <w:szCs w:val="24"/>
        </w:rPr>
        <w:t>s</w:t>
      </w:r>
      <w:r w:rsidRPr="00875208">
        <w:rPr>
          <w:sz w:val="24"/>
          <w:szCs w:val="24"/>
        </w:rPr>
        <w:t xml:space="preserve"> to </w:t>
      </w:r>
      <w:r w:rsidR="00CF5740" w:rsidRPr="00875208">
        <w:rPr>
          <w:sz w:val="24"/>
          <w:szCs w:val="24"/>
        </w:rPr>
        <w:t>project</w:t>
      </w:r>
      <w:r w:rsidRPr="00875208">
        <w:rPr>
          <w:sz w:val="24"/>
          <w:szCs w:val="24"/>
        </w:rPr>
        <w:t xml:space="preserve">s which maximise the overall effectiveness of the </w:t>
      </w:r>
      <w:r w:rsidR="001D0C7B" w:rsidRPr="00875208">
        <w:rPr>
          <w:sz w:val="24"/>
          <w:szCs w:val="24"/>
        </w:rPr>
        <w:t>Call for Proposals</w:t>
      </w:r>
      <w:r w:rsidRPr="00875208">
        <w:rPr>
          <w:sz w:val="24"/>
          <w:szCs w:val="24"/>
        </w:rPr>
        <w:t xml:space="preserve">. </w:t>
      </w:r>
      <w:r w:rsidR="00543106" w:rsidRPr="00875208">
        <w:rPr>
          <w:sz w:val="24"/>
          <w:szCs w:val="24"/>
        </w:rPr>
        <w:t xml:space="preserve">They </w:t>
      </w:r>
      <w:r w:rsidR="006F44FB" w:rsidRPr="00875208">
        <w:rPr>
          <w:sz w:val="24"/>
          <w:szCs w:val="24"/>
        </w:rPr>
        <w:t>help to select</w:t>
      </w:r>
      <w:r w:rsidR="00F16D05">
        <w:rPr>
          <w:sz w:val="24"/>
          <w:szCs w:val="24"/>
        </w:rPr>
        <w:t xml:space="preserve"> </w:t>
      </w:r>
      <w:r w:rsidR="006459C5" w:rsidRPr="00875208">
        <w:rPr>
          <w:sz w:val="24"/>
          <w:szCs w:val="24"/>
        </w:rPr>
        <w:t>application</w:t>
      </w:r>
      <w:r w:rsidR="0035206C" w:rsidRPr="00875208">
        <w:rPr>
          <w:sz w:val="24"/>
          <w:szCs w:val="24"/>
        </w:rPr>
        <w:t>s which t</w:t>
      </w:r>
      <w:r w:rsidR="00D959F0" w:rsidRPr="00875208">
        <w:rPr>
          <w:sz w:val="24"/>
          <w:szCs w:val="24"/>
        </w:rPr>
        <w:t>he Contracting Authority</w:t>
      </w:r>
      <w:r w:rsidR="00833F09" w:rsidRPr="00875208">
        <w:rPr>
          <w:sz w:val="24"/>
          <w:szCs w:val="24"/>
        </w:rPr>
        <w:t xml:space="preserve"> can be confident will comply with</w:t>
      </w:r>
      <w:r w:rsidR="00D959F0" w:rsidRPr="00875208">
        <w:rPr>
          <w:sz w:val="24"/>
          <w:szCs w:val="24"/>
        </w:rPr>
        <w:t xml:space="preserve"> its objectives and priorities</w:t>
      </w:r>
      <w:r w:rsidR="002A4866" w:rsidRPr="00875208">
        <w:rPr>
          <w:sz w:val="24"/>
          <w:szCs w:val="24"/>
        </w:rPr>
        <w:t>.</w:t>
      </w:r>
      <w:r w:rsidR="00F16D05">
        <w:rPr>
          <w:sz w:val="24"/>
          <w:szCs w:val="24"/>
        </w:rPr>
        <w:t xml:space="preserve"> </w:t>
      </w:r>
      <w:r w:rsidRPr="00875208">
        <w:rPr>
          <w:sz w:val="24"/>
          <w:szCs w:val="24"/>
        </w:rPr>
        <w:t xml:space="preserve">They cover the relevance of the action, its consistency with the objectives of the </w:t>
      </w:r>
      <w:r w:rsidR="001D0C7B" w:rsidRPr="00875208">
        <w:rPr>
          <w:sz w:val="24"/>
          <w:szCs w:val="24"/>
        </w:rPr>
        <w:t>Call for Proposals</w:t>
      </w:r>
      <w:r w:rsidRPr="00875208">
        <w:rPr>
          <w:sz w:val="24"/>
          <w:szCs w:val="24"/>
        </w:rPr>
        <w:t>, quality, expected impact, sustainability and cost-effectiveness.</w:t>
      </w:r>
    </w:p>
    <w:p w:rsidR="00ED5802" w:rsidRPr="00875208" w:rsidRDefault="00ED5802" w:rsidP="006F280A">
      <w:pPr>
        <w:rPr>
          <w:i/>
          <w:sz w:val="24"/>
          <w:szCs w:val="24"/>
        </w:rPr>
      </w:pPr>
      <w:r w:rsidRPr="00875208">
        <w:rPr>
          <w:i/>
          <w:sz w:val="24"/>
          <w:szCs w:val="24"/>
        </w:rPr>
        <w:t>Scoring:</w:t>
      </w:r>
    </w:p>
    <w:p w:rsidR="00ED5802" w:rsidRPr="00875208" w:rsidRDefault="00ED5802" w:rsidP="006F280A">
      <w:pPr>
        <w:rPr>
          <w:sz w:val="24"/>
          <w:szCs w:val="24"/>
        </w:rPr>
      </w:pPr>
      <w:r w:rsidRPr="00875208">
        <w:rPr>
          <w:sz w:val="24"/>
          <w:szCs w:val="24"/>
        </w:rPr>
        <w:t xml:space="preserve">The evaluation </w:t>
      </w:r>
      <w:r w:rsidR="00613863" w:rsidRPr="00875208">
        <w:rPr>
          <w:sz w:val="24"/>
          <w:szCs w:val="24"/>
        </w:rPr>
        <w:t xml:space="preserve">grid is </w:t>
      </w:r>
      <w:r w:rsidRPr="00875208">
        <w:rPr>
          <w:sz w:val="24"/>
          <w:szCs w:val="24"/>
        </w:rPr>
        <w:t xml:space="preserve">divided into sections and subsections. </w:t>
      </w:r>
      <w:r w:rsidR="007017C5" w:rsidRPr="00875208">
        <w:rPr>
          <w:sz w:val="24"/>
          <w:szCs w:val="24"/>
        </w:rPr>
        <w:t xml:space="preserve">Each subsection </w:t>
      </w:r>
      <w:r w:rsidRPr="00875208">
        <w:rPr>
          <w:sz w:val="24"/>
          <w:szCs w:val="24"/>
        </w:rPr>
        <w:t xml:space="preserve">will be given a score between 1 and 5 </w:t>
      </w:r>
      <w:r w:rsidR="006F44FB" w:rsidRPr="00875208">
        <w:rPr>
          <w:sz w:val="24"/>
          <w:szCs w:val="24"/>
        </w:rPr>
        <w:t>as</w:t>
      </w:r>
      <w:r w:rsidRPr="00875208">
        <w:rPr>
          <w:sz w:val="24"/>
          <w:szCs w:val="24"/>
        </w:rPr>
        <w:t xml:space="preserve"> follow</w:t>
      </w:r>
      <w:r w:rsidR="006F44FB" w:rsidRPr="00875208">
        <w:rPr>
          <w:sz w:val="24"/>
          <w:szCs w:val="24"/>
        </w:rPr>
        <w:t>s</w:t>
      </w:r>
      <w:r w:rsidRPr="00875208">
        <w:rPr>
          <w:sz w:val="24"/>
          <w:szCs w:val="24"/>
        </w:rPr>
        <w:t xml:space="preserve">: 1 = very poor; 2 = poor; 3 = adequate; 4 = good; 5 = very good. </w:t>
      </w:r>
    </w:p>
    <w:p w:rsidR="0007408E" w:rsidRPr="00875208" w:rsidRDefault="0007408E" w:rsidP="006F280A">
      <w:pPr>
        <w:rPr>
          <w:b/>
          <w:sz w:val="24"/>
          <w:szCs w:val="24"/>
        </w:rPr>
      </w:pPr>
      <w:r w:rsidRPr="00875208">
        <w:rPr>
          <w:b/>
          <w:sz w:val="24"/>
          <w:szCs w:val="24"/>
        </w:rPr>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875208" w:rsidTr="004B4447">
        <w:tc>
          <w:tcPr>
            <w:tcW w:w="8472" w:type="dxa"/>
            <w:vAlign w:val="center"/>
          </w:tcPr>
          <w:p w:rsidR="00682B40" w:rsidRPr="00875208" w:rsidRDefault="00682B40" w:rsidP="00F15864">
            <w:pPr>
              <w:spacing w:before="120"/>
              <w:rPr>
                <w:b/>
                <w:sz w:val="24"/>
                <w:szCs w:val="24"/>
              </w:rPr>
            </w:pPr>
            <w:r w:rsidRPr="00875208">
              <w:rPr>
                <w:b/>
                <w:sz w:val="24"/>
                <w:szCs w:val="24"/>
              </w:rPr>
              <w:t>Section</w:t>
            </w:r>
          </w:p>
        </w:tc>
        <w:tc>
          <w:tcPr>
            <w:tcW w:w="1275" w:type="dxa"/>
            <w:vAlign w:val="center"/>
          </w:tcPr>
          <w:p w:rsidR="00682B40" w:rsidRPr="00875208" w:rsidRDefault="00281295" w:rsidP="00F15864">
            <w:pPr>
              <w:spacing w:before="120"/>
              <w:jc w:val="center"/>
              <w:rPr>
                <w:b/>
                <w:sz w:val="24"/>
                <w:szCs w:val="24"/>
              </w:rPr>
            </w:pPr>
            <w:r w:rsidRPr="00875208">
              <w:rPr>
                <w:b/>
                <w:sz w:val="24"/>
                <w:szCs w:val="24"/>
              </w:rPr>
              <w:t>Maximum Score</w:t>
            </w:r>
          </w:p>
        </w:tc>
      </w:tr>
      <w:tr w:rsidR="004B4447" w:rsidRPr="00875208" w:rsidTr="004B4447">
        <w:tc>
          <w:tcPr>
            <w:tcW w:w="8472" w:type="dxa"/>
            <w:shd w:val="pct10" w:color="auto" w:fill="FFFFFF"/>
            <w:vAlign w:val="center"/>
          </w:tcPr>
          <w:p w:rsidR="004B4447" w:rsidRPr="00875208" w:rsidRDefault="004B4447" w:rsidP="00F15864">
            <w:pPr>
              <w:spacing w:before="120"/>
              <w:rPr>
                <w:sz w:val="24"/>
                <w:szCs w:val="24"/>
              </w:rPr>
            </w:pPr>
            <w:r w:rsidRPr="00875208">
              <w:rPr>
                <w:b/>
                <w:sz w:val="24"/>
                <w:szCs w:val="24"/>
              </w:rPr>
              <w:t>1. Financial and operational capacity</w:t>
            </w:r>
          </w:p>
        </w:tc>
        <w:tc>
          <w:tcPr>
            <w:tcW w:w="1275" w:type="dxa"/>
            <w:shd w:val="pct10" w:color="auto" w:fill="FFFFFF"/>
            <w:vAlign w:val="center"/>
          </w:tcPr>
          <w:p w:rsidR="004B4447" w:rsidRPr="00875208" w:rsidRDefault="00281295" w:rsidP="00F15864">
            <w:pPr>
              <w:spacing w:before="120"/>
              <w:jc w:val="center"/>
              <w:rPr>
                <w:b/>
                <w:sz w:val="24"/>
                <w:szCs w:val="24"/>
              </w:rPr>
            </w:pPr>
            <w:r w:rsidRPr="00875208">
              <w:rPr>
                <w:b/>
                <w:sz w:val="24"/>
                <w:szCs w:val="24"/>
              </w:rPr>
              <w:t>20</w:t>
            </w:r>
          </w:p>
        </w:tc>
      </w:tr>
      <w:tr w:rsidR="004B4447" w:rsidRPr="00875208" w:rsidTr="004B4447">
        <w:tc>
          <w:tcPr>
            <w:tcW w:w="8472" w:type="dxa"/>
          </w:tcPr>
          <w:p w:rsidR="004B4447" w:rsidRPr="00875208" w:rsidRDefault="004B4447" w:rsidP="00F15864">
            <w:pPr>
              <w:spacing w:before="120"/>
              <w:ind w:left="340" w:hanging="340"/>
              <w:rPr>
                <w:sz w:val="24"/>
                <w:szCs w:val="24"/>
              </w:rPr>
            </w:pPr>
            <w:r w:rsidRPr="00875208">
              <w:rPr>
                <w:sz w:val="24"/>
                <w:szCs w:val="24"/>
              </w:rPr>
              <w:t>1.1 Do the applicant</w:t>
            </w:r>
            <w:r w:rsidR="000852E9" w:rsidRPr="00875208">
              <w:rPr>
                <w:sz w:val="24"/>
                <w:szCs w:val="24"/>
              </w:rPr>
              <w:t>s</w:t>
            </w:r>
            <w:r w:rsidRPr="00875208">
              <w:rPr>
                <w:sz w:val="24"/>
                <w:szCs w:val="24"/>
              </w:rPr>
              <w:t xml:space="preserve"> and, if applicable, </w:t>
            </w:r>
            <w:r w:rsidR="00FA1338" w:rsidRPr="00875208">
              <w:rPr>
                <w:sz w:val="24"/>
                <w:szCs w:val="24"/>
              </w:rPr>
              <w:t xml:space="preserve">their </w:t>
            </w:r>
            <w:r w:rsidR="000852E9" w:rsidRPr="00875208">
              <w:rPr>
                <w:sz w:val="24"/>
                <w:szCs w:val="24"/>
              </w:rPr>
              <w:t xml:space="preserve">affiliated entity(ies) </w:t>
            </w:r>
            <w:r w:rsidRPr="00875208">
              <w:rPr>
                <w:sz w:val="24"/>
                <w:szCs w:val="24"/>
              </w:rPr>
              <w:t>have sufficient experience of project</w:t>
            </w:r>
            <w:r w:rsidR="00F16D05">
              <w:rPr>
                <w:sz w:val="24"/>
                <w:szCs w:val="24"/>
              </w:rPr>
              <w:t xml:space="preserve"> </w:t>
            </w:r>
            <w:r w:rsidRPr="00875208">
              <w:rPr>
                <w:sz w:val="24"/>
                <w:szCs w:val="24"/>
              </w:rPr>
              <w:t xml:space="preserve">management? </w:t>
            </w:r>
          </w:p>
        </w:tc>
        <w:tc>
          <w:tcPr>
            <w:tcW w:w="1275" w:type="dxa"/>
          </w:tcPr>
          <w:p w:rsidR="004B4447" w:rsidRPr="00875208" w:rsidRDefault="00281295" w:rsidP="00F15864">
            <w:pPr>
              <w:spacing w:before="120"/>
              <w:jc w:val="center"/>
              <w:rPr>
                <w:sz w:val="24"/>
                <w:szCs w:val="24"/>
              </w:rPr>
            </w:pPr>
            <w:r w:rsidRPr="00875208">
              <w:rPr>
                <w:sz w:val="24"/>
                <w:szCs w:val="24"/>
              </w:rPr>
              <w:t>5</w:t>
            </w:r>
          </w:p>
        </w:tc>
      </w:tr>
      <w:tr w:rsidR="004B4447" w:rsidRPr="00875208" w:rsidTr="004B4447">
        <w:tc>
          <w:tcPr>
            <w:tcW w:w="8472" w:type="dxa"/>
          </w:tcPr>
          <w:p w:rsidR="004B4447" w:rsidRPr="00875208" w:rsidRDefault="004B4447" w:rsidP="003664DD">
            <w:pPr>
              <w:spacing w:before="120"/>
              <w:ind w:left="340" w:hanging="340"/>
              <w:rPr>
                <w:sz w:val="24"/>
                <w:szCs w:val="24"/>
              </w:rPr>
            </w:pPr>
            <w:r w:rsidRPr="00875208">
              <w:rPr>
                <w:sz w:val="24"/>
                <w:szCs w:val="24"/>
              </w:rPr>
              <w:t>1.2 Do the applicant</w:t>
            </w:r>
            <w:r w:rsidR="000852E9" w:rsidRPr="00875208">
              <w:rPr>
                <w:sz w:val="24"/>
                <w:szCs w:val="24"/>
              </w:rPr>
              <w:t>s</w:t>
            </w:r>
            <w:r w:rsidRPr="00875208">
              <w:rPr>
                <w:sz w:val="24"/>
                <w:szCs w:val="24"/>
              </w:rPr>
              <w:t xml:space="preserve"> and, if applicable</w:t>
            </w:r>
            <w:r w:rsidR="006F44FB" w:rsidRPr="00875208">
              <w:rPr>
                <w:sz w:val="24"/>
                <w:szCs w:val="24"/>
              </w:rPr>
              <w:t>,</w:t>
            </w:r>
            <w:r w:rsidR="00F16D05">
              <w:rPr>
                <w:sz w:val="24"/>
                <w:szCs w:val="24"/>
              </w:rPr>
              <w:t xml:space="preserve"> </w:t>
            </w:r>
            <w:r w:rsidR="00FA1338" w:rsidRPr="00875208">
              <w:rPr>
                <w:sz w:val="24"/>
                <w:szCs w:val="24"/>
              </w:rPr>
              <w:t xml:space="preserve">their </w:t>
            </w:r>
            <w:r w:rsidR="000C1624" w:rsidRPr="00875208">
              <w:rPr>
                <w:sz w:val="24"/>
                <w:szCs w:val="24"/>
              </w:rPr>
              <w:t xml:space="preserve">affiliated </w:t>
            </w:r>
            <w:r w:rsidR="000852E9" w:rsidRPr="00875208">
              <w:rPr>
                <w:sz w:val="24"/>
                <w:szCs w:val="24"/>
              </w:rPr>
              <w:t xml:space="preserve">entity(ies) </w:t>
            </w:r>
            <w:r w:rsidRPr="00875208">
              <w:rPr>
                <w:sz w:val="24"/>
                <w:szCs w:val="24"/>
              </w:rPr>
              <w:t>have sufficient technical expertise? (</w:t>
            </w:r>
            <w:r w:rsidR="006F44FB" w:rsidRPr="00875208">
              <w:rPr>
                <w:sz w:val="24"/>
                <w:szCs w:val="24"/>
              </w:rPr>
              <w:t xml:space="preserve">especially </w:t>
            </w:r>
            <w:r w:rsidRPr="00875208">
              <w:rPr>
                <w:sz w:val="24"/>
                <w:szCs w:val="24"/>
              </w:rPr>
              <w:t>knowledge of the issues to be addressed)</w:t>
            </w:r>
          </w:p>
        </w:tc>
        <w:tc>
          <w:tcPr>
            <w:tcW w:w="1275" w:type="dxa"/>
          </w:tcPr>
          <w:p w:rsidR="004B4447" w:rsidRPr="00875208" w:rsidRDefault="00281295" w:rsidP="00F15864">
            <w:pPr>
              <w:spacing w:before="120"/>
              <w:jc w:val="center"/>
              <w:rPr>
                <w:sz w:val="24"/>
                <w:szCs w:val="24"/>
              </w:rPr>
            </w:pPr>
            <w:r w:rsidRPr="00875208">
              <w:rPr>
                <w:sz w:val="24"/>
                <w:szCs w:val="24"/>
              </w:rPr>
              <w:t>5</w:t>
            </w:r>
          </w:p>
        </w:tc>
      </w:tr>
      <w:tr w:rsidR="004B4447" w:rsidRPr="00875208" w:rsidTr="004B4447">
        <w:tc>
          <w:tcPr>
            <w:tcW w:w="8472" w:type="dxa"/>
            <w:tcBorders>
              <w:bottom w:val="nil"/>
            </w:tcBorders>
          </w:tcPr>
          <w:p w:rsidR="004B4447" w:rsidRPr="00875208" w:rsidRDefault="004B4447" w:rsidP="00FA1338">
            <w:pPr>
              <w:spacing w:before="120"/>
              <w:ind w:left="340" w:hanging="340"/>
              <w:jc w:val="left"/>
              <w:rPr>
                <w:sz w:val="24"/>
                <w:szCs w:val="24"/>
              </w:rPr>
            </w:pPr>
            <w:r w:rsidRPr="00875208">
              <w:rPr>
                <w:sz w:val="24"/>
                <w:szCs w:val="24"/>
              </w:rPr>
              <w:t>1.3 Do the applicant</w:t>
            </w:r>
            <w:r w:rsidR="000852E9" w:rsidRPr="00875208">
              <w:rPr>
                <w:sz w:val="24"/>
                <w:szCs w:val="24"/>
              </w:rPr>
              <w:t>s</w:t>
            </w:r>
            <w:r w:rsidRPr="00875208">
              <w:rPr>
                <w:sz w:val="24"/>
                <w:szCs w:val="24"/>
              </w:rPr>
              <w:t xml:space="preserve"> and, if applicable, </w:t>
            </w:r>
            <w:r w:rsidR="00FA1338" w:rsidRPr="00875208">
              <w:rPr>
                <w:sz w:val="24"/>
                <w:szCs w:val="24"/>
              </w:rPr>
              <w:t xml:space="preserve">their </w:t>
            </w:r>
            <w:r w:rsidR="000852E9" w:rsidRPr="00875208">
              <w:rPr>
                <w:sz w:val="24"/>
                <w:szCs w:val="24"/>
              </w:rPr>
              <w:t xml:space="preserve">affiliated entity(ies) </w:t>
            </w:r>
            <w:r w:rsidRPr="00875208">
              <w:rPr>
                <w:sz w:val="24"/>
                <w:szCs w:val="24"/>
              </w:rPr>
              <w:t xml:space="preserve">have sufficient management capacity? </w:t>
            </w:r>
            <w:r w:rsidRPr="00875208">
              <w:rPr>
                <w:sz w:val="24"/>
                <w:szCs w:val="24"/>
              </w:rPr>
              <w:br/>
            </w:r>
            <w:r w:rsidRPr="00875208">
              <w:rPr>
                <w:sz w:val="24"/>
                <w:szCs w:val="24"/>
              </w:rPr>
              <w:lastRenderedPageBreak/>
              <w:t>(</w:t>
            </w:r>
            <w:r w:rsidR="00407D7F" w:rsidRPr="00875208">
              <w:rPr>
                <w:sz w:val="24"/>
                <w:szCs w:val="24"/>
              </w:rPr>
              <w:t>I</w:t>
            </w:r>
            <w:r w:rsidRPr="00875208">
              <w:rPr>
                <w:sz w:val="24"/>
                <w:szCs w:val="24"/>
              </w:rPr>
              <w:t>ncluding staff, equipment and ability to handle the budget for the action)?</w:t>
            </w:r>
          </w:p>
        </w:tc>
        <w:tc>
          <w:tcPr>
            <w:tcW w:w="1275" w:type="dxa"/>
            <w:tcBorders>
              <w:bottom w:val="nil"/>
            </w:tcBorders>
          </w:tcPr>
          <w:p w:rsidR="004B4447" w:rsidRPr="00875208" w:rsidRDefault="00281295" w:rsidP="00F15864">
            <w:pPr>
              <w:spacing w:before="120"/>
              <w:jc w:val="center"/>
              <w:rPr>
                <w:sz w:val="24"/>
                <w:szCs w:val="24"/>
              </w:rPr>
            </w:pPr>
            <w:r w:rsidRPr="00875208">
              <w:rPr>
                <w:sz w:val="24"/>
                <w:szCs w:val="24"/>
              </w:rPr>
              <w:lastRenderedPageBreak/>
              <w:t>5</w:t>
            </w:r>
          </w:p>
        </w:tc>
      </w:tr>
      <w:tr w:rsidR="004B4447" w:rsidRPr="00875208" w:rsidTr="004B4447">
        <w:tc>
          <w:tcPr>
            <w:tcW w:w="8472" w:type="dxa"/>
            <w:tcBorders>
              <w:bottom w:val="single" w:sz="4" w:space="0" w:color="auto"/>
            </w:tcBorders>
          </w:tcPr>
          <w:p w:rsidR="004B4447" w:rsidRPr="00875208" w:rsidRDefault="004B4447" w:rsidP="00F15864">
            <w:pPr>
              <w:spacing w:before="120"/>
              <w:ind w:left="340" w:hanging="340"/>
              <w:rPr>
                <w:sz w:val="24"/>
                <w:szCs w:val="24"/>
              </w:rPr>
            </w:pPr>
            <w:r w:rsidRPr="00875208">
              <w:rPr>
                <w:sz w:val="24"/>
                <w:szCs w:val="24"/>
              </w:rPr>
              <w:lastRenderedPageBreak/>
              <w:t>1.4 Do</w:t>
            </w:r>
            <w:r w:rsidR="00E94856" w:rsidRPr="00875208">
              <w:rPr>
                <w:sz w:val="24"/>
                <w:szCs w:val="24"/>
              </w:rPr>
              <w:t>es</w:t>
            </w:r>
            <w:r w:rsidRPr="00875208">
              <w:rPr>
                <w:sz w:val="24"/>
                <w:szCs w:val="24"/>
              </w:rPr>
              <w:t xml:space="preserve"> the </w:t>
            </w:r>
            <w:r w:rsidR="004044E0" w:rsidRPr="00875208">
              <w:rPr>
                <w:sz w:val="24"/>
                <w:szCs w:val="24"/>
              </w:rPr>
              <w:t xml:space="preserve">lead </w:t>
            </w:r>
            <w:r w:rsidRPr="00875208">
              <w:rPr>
                <w:sz w:val="24"/>
                <w:szCs w:val="24"/>
              </w:rPr>
              <w:t>applicant have stable and sufficient sources of finance?</w:t>
            </w:r>
          </w:p>
        </w:tc>
        <w:tc>
          <w:tcPr>
            <w:tcW w:w="1275" w:type="dxa"/>
            <w:tcBorders>
              <w:bottom w:val="single" w:sz="4" w:space="0" w:color="auto"/>
            </w:tcBorders>
          </w:tcPr>
          <w:p w:rsidR="004B4447" w:rsidRPr="00875208" w:rsidRDefault="00281295" w:rsidP="00F15864">
            <w:pPr>
              <w:spacing w:before="120"/>
              <w:jc w:val="center"/>
              <w:rPr>
                <w:sz w:val="24"/>
                <w:szCs w:val="24"/>
              </w:rPr>
            </w:pPr>
            <w:r w:rsidRPr="00875208">
              <w:rPr>
                <w:sz w:val="24"/>
                <w:szCs w:val="24"/>
              </w:rPr>
              <w:t>5</w:t>
            </w:r>
          </w:p>
        </w:tc>
      </w:tr>
      <w:tr w:rsidR="00682B40" w:rsidRPr="00875208" w:rsidTr="004B4447">
        <w:tc>
          <w:tcPr>
            <w:tcW w:w="8472" w:type="dxa"/>
            <w:tcBorders>
              <w:bottom w:val="single" w:sz="4" w:space="0" w:color="auto"/>
            </w:tcBorders>
            <w:shd w:val="pct10" w:color="auto" w:fill="FFFFFF"/>
          </w:tcPr>
          <w:p w:rsidR="00682B40" w:rsidRPr="00875208" w:rsidRDefault="00682B40" w:rsidP="00F15864">
            <w:pPr>
              <w:spacing w:before="120"/>
              <w:rPr>
                <w:sz w:val="24"/>
                <w:szCs w:val="24"/>
              </w:rPr>
            </w:pPr>
            <w:r w:rsidRPr="00875208">
              <w:rPr>
                <w:b/>
                <w:sz w:val="24"/>
                <w:szCs w:val="24"/>
              </w:rPr>
              <w:t>2. Relevance of the action</w:t>
            </w:r>
          </w:p>
        </w:tc>
        <w:tc>
          <w:tcPr>
            <w:tcW w:w="1275" w:type="dxa"/>
            <w:tcBorders>
              <w:bottom w:val="single" w:sz="4" w:space="0" w:color="auto"/>
            </w:tcBorders>
            <w:shd w:val="pct10" w:color="auto" w:fill="FFFFFF"/>
            <w:vAlign w:val="center"/>
          </w:tcPr>
          <w:p w:rsidR="00682B40" w:rsidRPr="00875208" w:rsidRDefault="004B4447" w:rsidP="00F15864">
            <w:pPr>
              <w:spacing w:before="120"/>
              <w:jc w:val="center"/>
              <w:rPr>
                <w:b/>
                <w:sz w:val="24"/>
                <w:szCs w:val="24"/>
              </w:rPr>
            </w:pPr>
            <w:r w:rsidRPr="00875208">
              <w:rPr>
                <w:b/>
                <w:sz w:val="24"/>
                <w:szCs w:val="24"/>
              </w:rPr>
              <w:t>30</w:t>
            </w:r>
          </w:p>
        </w:tc>
      </w:tr>
      <w:tr w:rsidR="00682B40" w:rsidRPr="00875208" w:rsidTr="004B4447">
        <w:tc>
          <w:tcPr>
            <w:tcW w:w="8472" w:type="dxa"/>
            <w:shd w:val="clear" w:color="auto" w:fill="FFFFFF"/>
          </w:tcPr>
          <w:p w:rsidR="00682B40" w:rsidRPr="00875208" w:rsidRDefault="00682B40" w:rsidP="00F15864">
            <w:pPr>
              <w:spacing w:before="120"/>
              <w:rPr>
                <w:i/>
                <w:sz w:val="24"/>
                <w:szCs w:val="24"/>
              </w:rPr>
            </w:pPr>
            <w:r w:rsidRPr="00875208">
              <w:rPr>
                <w:i/>
                <w:sz w:val="24"/>
                <w:szCs w:val="24"/>
              </w:rPr>
              <w:t>Score transferred from</w:t>
            </w:r>
            <w:r w:rsidR="00E120C3" w:rsidRPr="00875208">
              <w:rPr>
                <w:i/>
                <w:sz w:val="24"/>
                <w:szCs w:val="24"/>
              </w:rPr>
              <w:t xml:space="preserve"> the</w:t>
            </w:r>
            <w:r w:rsidRPr="00875208">
              <w:rPr>
                <w:i/>
                <w:sz w:val="24"/>
                <w:szCs w:val="24"/>
              </w:rPr>
              <w:t xml:space="preserve"> C</w:t>
            </w:r>
            <w:r w:rsidR="00E120C3" w:rsidRPr="00875208">
              <w:rPr>
                <w:i/>
                <w:sz w:val="24"/>
                <w:szCs w:val="24"/>
              </w:rPr>
              <w:t xml:space="preserve">oncept </w:t>
            </w:r>
            <w:r w:rsidRPr="00875208">
              <w:rPr>
                <w:i/>
                <w:sz w:val="24"/>
                <w:szCs w:val="24"/>
              </w:rPr>
              <w:t>N</w:t>
            </w:r>
            <w:r w:rsidR="00E120C3" w:rsidRPr="00875208">
              <w:rPr>
                <w:i/>
                <w:sz w:val="24"/>
                <w:szCs w:val="24"/>
              </w:rPr>
              <w:t>ote</w:t>
            </w:r>
            <w:r w:rsidRPr="00875208">
              <w:rPr>
                <w:i/>
                <w:sz w:val="24"/>
                <w:szCs w:val="24"/>
              </w:rPr>
              <w:t xml:space="preserve"> evaluation</w:t>
            </w:r>
          </w:p>
        </w:tc>
        <w:tc>
          <w:tcPr>
            <w:tcW w:w="1275" w:type="dxa"/>
            <w:shd w:val="clear" w:color="auto" w:fill="FFFFFF"/>
            <w:vAlign w:val="center"/>
          </w:tcPr>
          <w:p w:rsidR="00682B40" w:rsidRPr="00875208" w:rsidRDefault="00682B40" w:rsidP="00F15864">
            <w:pPr>
              <w:spacing w:before="120"/>
              <w:jc w:val="center"/>
              <w:rPr>
                <w:b/>
                <w:sz w:val="24"/>
                <w:szCs w:val="24"/>
              </w:rPr>
            </w:pPr>
          </w:p>
        </w:tc>
      </w:tr>
      <w:tr w:rsidR="00682B40" w:rsidRPr="00875208" w:rsidTr="004B4447">
        <w:tc>
          <w:tcPr>
            <w:tcW w:w="8472" w:type="dxa"/>
            <w:shd w:val="pct10" w:color="auto" w:fill="FFFFFF"/>
            <w:vAlign w:val="center"/>
          </w:tcPr>
          <w:p w:rsidR="00682B40" w:rsidRPr="00875208" w:rsidRDefault="00682B40" w:rsidP="00F15864">
            <w:pPr>
              <w:spacing w:before="120"/>
              <w:rPr>
                <w:sz w:val="24"/>
                <w:szCs w:val="24"/>
              </w:rPr>
            </w:pPr>
            <w:r w:rsidRPr="00875208">
              <w:rPr>
                <w:b/>
                <w:sz w:val="24"/>
                <w:szCs w:val="24"/>
              </w:rPr>
              <w:t>3. Effectiveness and feasibility of the action</w:t>
            </w:r>
          </w:p>
        </w:tc>
        <w:tc>
          <w:tcPr>
            <w:tcW w:w="1275" w:type="dxa"/>
            <w:shd w:val="pct10" w:color="auto" w:fill="FFFFFF"/>
            <w:vAlign w:val="center"/>
          </w:tcPr>
          <w:p w:rsidR="00682B40" w:rsidRPr="00875208" w:rsidRDefault="00682B40" w:rsidP="00F15864">
            <w:pPr>
              <w:spacing w:before="120"/>
              <w:jc w:val="center"/>
              <w:rPr>
                <w:b/>
                <w:sz w:val="24"/>
                <w:szCs w:val="24"/>
              </w:rPr>
            </w:pPr>
            <w:r w:rsidRPr="00875208">
              <w:rPr>
                <w:b/>
                <w:sz w:val="24"/>
                <w:szCs w:val="24"/>
              </w:rPr>
              <w:t>20</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3.1 Are the activities proposed appropriate, practical, and consistent with the objectives and expected results?</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3.2 Is the action plan clear and feasible?</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 xml:space="preserve">3.3 Does the proposal contain objectively verifiable indicators for the outcome of the action? Is </w:t>
            </w:r>
            <w:r w:rsidR="002852CE" w:rsidRPr="00875208">
              <w:rPr>
                <w:sz w:val="24"/>
                <w:szCs w:val="24"/>
              </w:rPr>
              <w:t xml:space="preserve">any </w:t>
            </w:r>
            <w:r w:rsidRPr="00875208">
              <w:rPr>
                <w:sz w:val="24"/>
                <w:szCs w:val="24"/>
              </w:rPr>
              <w:t xml:space="preserve">evaluation </w:t>
            </w:r>
            <w:r w:rsidR="006F44FB" w:rsidRPr="00875208">
              <w:rPr>
                <w:sz w:val="24"/>
                <w:szCs w:val="24"/>
              </w:rPr>
              <w:t>planned</w:t>
            </w:r>
            <w:r w:rsidRPr="00875208">
              <w:rPr>
                <w:sz w:val="24"/>
                <w:szCs w:val="24"/>
              </w:rPr>
              <w:t>?</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tcPr>
          <w:p w:rsidR="00682B40" w:rsidRPr="00875208" w:rsidRDefault="00682B40" w:rsidP="000D40CC">
            <w:pPr>
              <w:spacing w:before="120"/>
              <w:rPr>
                <w:sz w:val="24"/>
                <w:szCs w:val="24"/>
              </w:rPr>
            </w:pPr>
            <w:r w:rsidRPr="00875208">
              <w:rPr>
                <w:sz w:val="24"/>
                <w:szCs w:val="24"/>
              </w:rPr>
              <w:t xml:space="preserve">3.4 Is the </w:t>
            </w:r>
            <w:r w:rsidR="000D40CC" w:rsidRPr="00875208">
              <w:rPr>
                <w:sz w:val="24"/>
                <w:szCs w:val="24"/>
              </w:rPr>
              <w:t>co-applicant(s)</w:t>
            </w:r>
            <w:r w:rsidR="00E94856" w:rsidRPr="00875208">
              <w:rPr>
                <w:sz w:val="24"/>
                <w:szCs w:val="24"/>
              </w:rPr>
              <w:t>'s</w:t>
            </w:r>
            <w:r w:rsidR="000D40CC" w:rsidRPr="00875208">
              <w:rPr>
                <w:sz w:val="24"/>
                <w:szCs w:val="24"/>
              </w:rPr>
              <w:t xml:space="preserve"> and affiliated entity(ies)</w:t>
            </w:r>
            <w:r w:rsidR="00E94856" w:rsidRPr="00875208">
              <w:rPr>
                <w:sz w:val="24"/>
                <w:szCs w:val="24"/>
              </w:rPr>
              <w:t>'s</w:t>
            </w:r>
            <w:r w:rsidR="00201798">
              <w:rPr>
                <w:sz w:val="24"/>
                <w:szCs w:val="24"/>
              </w:rPr>
              <w:t xml:space="preserve"> </w:t>
            </w:r>
            <w:r w:rsidRPr="00875208">
              <w:rPr>
                <w:sz w:val="24"/>
                <w:szCs w:val="24"/>
              </w:rPr>
              <w:t>level of involvement and participation in the action satisfactory?</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shd w:val="pct10" w:color="auto" w:fill="FFFFFF"/>
            <w:vAlign w:val="center"/>
          </w:tcPr>
          <w:p w:rsidR="00682B40" w:rsidRPr="00875208" w:rsidRDefault="00682B40" w:rsidP="00F15864">
            <w:pPr>
              <w:spacing w:before="120"/>
              <w:rPr>
                <w:sz w:val="24"/>
                <w:szCs w:val="24"/>
              </w:rPr>
            </w:pPr>
            <w:r w:rsidRPr="00875208">
              <w:rPr>
                <w:sz w:val="24"/>
                <w:szCs w:val="24"/>
              </w:rPr>
              <w:br w:type="page"/>
            </w:r>
            <w:r w:rsidRPr="00875208">
              <w:rPr>
                <w:b/>
                <w:sz w:val="24"/>
                <w:szCs w:val="24"/>
              </w:rPr>
              <w:t xml:space="preserve">4. Sustainability of the action </w:t>
            </w:r>
          </w:p>
        </w:tc>
        <w:tc>
          <w:tcPr>
            <w:tcW w:w="1275" w:type="dxa"/>
            <w:shd w:val="pct10" w:color="auto" w:fill="FFFFFF"/>
            <w:vAlign w:val="center"/>
          </w:tcPr>
          <w:p w:rsidR="00682B40" w:rsidRPr="00875208" w:rsidRDefault="00682B40" w:rsidP="00F15864">
            <w:pPr>
              <w:spacing w:before="120"/>
              <w:jc w:val="center"/>
              <w:rPr>
                <w:b/>
                <w:sz w:val="24"/>
                <w:szCs w:val="24"/>
              </w:rPr>
            </w:pPr>
            <w:r w:rsidRPr="00875208">
              <w:rPr>
                <w:b/>
                <w:sz w:val="24"/>
                <w:szCs w:val="24"/>
              </w:rPr>
              <w:t>15</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4.1 Is the action likely to have a tangible impact on its target groups?</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4.2 Is the proposal likely to have multiplier effects? (Including scope for replication</w:t>
            </w:r>
            <w:r w:rsidR="002852CE" w:rsidRPr="00875208">
              <w:rPr>
                <w:sz w:val="24"/>
                <w:szCs w:val="24"/>
              </w:rPr>
              <w:t>,</w:t>
            </w:r>
            <w:r w:rsidRPr="00875208">
              <w:rPr>
                <w:sz w:val="24"/>
                <w:szCs w:val="24"/>
              </w:rPr>
              <w:t xml:space="preserve"> extension and information</w:t>
            </w:r>
            <w:r w:rsidR="002852CE" w:rsidRPr="00875208">
              <w:rPr>
                <w:sz w:val="24"/>
                <w:szCs w:val="24"/>
              </w:rPr>
              <w:t xml:space="preserve"> sharing</w:t>
            </w:r>
            <w:r w:rsidRPr="00875208">
              <w:rPr>
                <w:sz w:val="24"/>
                <w:szCs w:val="24"/>
              </w:rPr>
              <w:t>.)</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tcPr>
          <w:p w:rsidR="00682B40" w:rsidRPr="00875208" w:rsidRDefault="00682B40" w:rsidP="00F15864">
            <w:pPr>
              <w:spacing w:before="120"/>
              <w:rPr>
                <w:sz w:val="24"/>
                <w:szCs w:val="24"/>
              </w:rPr>
            </w:pPr>
            <w:r w:rsidRPr="00875208">
              <w:rPr>
                <w:sz w:val="24"/>
                <w:szCs w:val="24"/>
              </w:rPr>
              <w:t>4.3 Are the expected results of the proposed action sustainable</w:t>
            </w:r>
            <w:r w:rsidR="002852CE" w:rsidRPr="00875208">
              <w:rPr>
                <w:sz w:val="24"/>
                <w:szCs w:val="24"/>
              </w:rPr>
              <w:t>?</w:t>
            </w:r>
            <w:r w:rsidRPr="00875208">
              <w:rPr>
                <w:sz w:val="24"/>
                <w:szCs w:val="24"/>
              </w:rPr>
              <w:t>:</w:t>
            </w:r>
          </w:p>
          <w:p w:rsidR="00682B40" w:rsidRPr="00875208" w:rsidRDefault="00682B40" w:rsidP="00F15864">
            <w:pPr>
              <w:spacing w:before="120"/>
              <w:ind w:left="510" w:hanging="170"/>
              <w:rPr>
                <w:sz w:val="24"/>
                <w:szCs w:val="24"/>
              </w:rPr>
            </w:pPr>
            <w:r w:rsidRPr="00875208">
              <w:rPr>
                <w:sz w:val="24"/>
                <w:szCs w:val="24"/>
              </w:rPr>
              <w:t>- financially</w:t>
            </w:r>
            <w:r w:rsidR="00655373">
              <w:rPr>
                <w:sz w:val="24"/>
                <w:szCs w:val="24"/>
              </w:rPr>
              <w:t xml:space="preserve"> </w:t>
            </w:r>
            <w:r w:rsidRPr="00875208">
              <w:rPr>
                <w:i/>
                <w:sz w:val="24"/>
                <w:szCs w:val="24"/>
              </w:rPr>
              <w:t>(how will the activities be financed after the funding ends?)</w:t>
            </w:r>
          </w:p>
          <w:p w:rsidR="00682B40" w:rsidRPr="00875208" w:rsidRDefault="00682B40" w:rsidP="00F15864">
            <w:pPr>
              <w:spacing w:before="120"/>
              <w:ind w:left="510" w:hanging="170"/>
              <w:rPr>
                <w:sz w:val="24"/>
                <w:szCs w:val="24"/>
              </w:rPr>
            </w:pPr>
            <w:r w:rsidRPr="00875208">
              <w:rPr>
                <w:sz w:val="24"/>
                <w:szCs w:val="24"/>
              </w:rPr>
              <w:t>- institutionally</w:t>
            </w:r>
            <w:r w:rsidR="00655373">
              <w:rPr>
                <w:sz w:val="24"/>
                <w:szCs w:val="24"/>
              </w:rPr>
              <w:t xml:space="preserve"> </w:t>
            </w:r>
            <w:r w:rsidRPr="00875208">
              <w:rPr>
                <w:i/>
                <w:sz w:val="24"/>
                <w:szCs w:val="24"/>
              </w:rPr>
              <w:t xml:space="preserve">(will structures allowing the activities to continue be in place at the end of the action? Will there be local </w:t>
            </w:r>
            <w:r w:rsidR="00A016F9" w:rsidRPr="00875208">
              <w:rPr>
                <w:i/>
                <w:sz w:val="24"/>
                <w:szCs w:val="24"/>
              </w:rPr>
              <w:t>‘</w:t>
            </w:r>
            <w:r w:rsidRPr="00875208">
              <w:rPr>
                <w:i/>
                <w:sz w:val="24"/>
                <w:szCs w:val="24"/>
              </w:rPr>
              <w:t>ownership</w:t>
            </w:r>
            <w:r w:rsidR="00A016F9" w:rsidRPr="00875208">
              <w:rPr>
                <w:i/>
                <w:sz w:val="24"/>
                <w:szCs w:val="24"/>
              </w:rPr>
              <w:t>’</w:t>
            </w:r>
            <w:r w:rsidRPr="00875208">
              <w:rPr>
                <w:i/>
                <w:sz w:val="24"/>
                <w:szCs w:val="24"/>
              </w:rPr>
              <w:t xml:space="preserve"> of the results of the action?)</w:t>
            </w:r>
          </w:p>
          <w:p w:rsidR="00FA1338" w:rsidRPr="00875208" w:rsidRDefault="00682B40" w:rsidP="00FA1338">
            <w:pPr>
              <w:spacing w:before="120"/>
              <w:ind w:left="510" w:hanging="170"/>
              <w:rPr>
                <w:iCs/>
                <w:sz w:val="24"/>
                <w:szCs w:val="24"/>
              </w:rPr>
            </w:pPr>
            <w:r w:rsidRPr="00875208">
              <w:rPr>
                <w:sz w:val="24"/>
                <w:szCs w:val="24"/>
              </w:rPr>
              <w:t xml:space="preserve">- at policy level (where applicable) </w:t>
            </w:r>
            <w:r w:rsidRPr="00875208">
              <w:rPr>
                <w:i/>
                <w:sz w:val="24"/>
                <w:szCs w:val="24"/>
              </w:rPr>
              <w:t>(what will be the structural impact of the action — e.g. will it lead to improved legislation, codes of conduct, methods, etc?)</w:t>
            </w:r>
          </w:p>
          <w:p w:rsidR="00682B40" w:rsidRPr="00875208" w:rsidRDefault="00FA0760" w:rsidP="00FA1338">
            <w:pPr>
              <w:spacing w:before="120"/>
              <w:ind w:left="510" w:hanging="170"/>
              <w:rPr>
                <w:sz w:val="24"/>
                <w:szCs w:val="24"/>
              </w:rPr>
            </w:pPr>
            <w:r w:rsidRPr="00875208">
              <w:rPr>
                <w:iCs/>
                <w:sz w:val="24"/>
                <w:szCs w:val="24"/>
              </w:rPr>
              <w:t xml:space="preserve">- environmentally (if applicable) </w:t>
            </w:r>
            <w:r w:rsidRPr="00875208">
              <w:rPr>
                <w:i/>
                <w:sz w:val="24"/>
                <w:szCs w:val="24"/>
              </w:rPr>
              <w:t>(will the action have a negative/positive environmental impact?)</w:t>
            </w:r>
          </w:p>
        </w:tc>
        <w:tc>
          <w:tcPr>
            <w:tcW w:w="1275" w:type="dxa"/>
          </w:tcPr>
          <w:p w:rsidR="00682B40" w:rsidRPr="00875208" w:rsidRDefault="00682B40" w:rsidP="00F15864">
            <w:pPr>
              <w:spacing w:before="120"/>
              <w:jc w:val="center"/>
              <w:rPr>
                <w:sz w:val="24"/>
                <w:szCs w:val="24"/>
              </w:rPr>
            </w:pPr>
            <w:r w:rsidRPr="00875208">
              <w:rPr>
                <w:sz w:val="24"/>
                <w:szCs w:val="24"/>
              </w:rPr>
              <w:t>5</w:t>
            </w:r>
          </w:p>
        </w:tc>
      </w:tr>
      <w:tr w:rsidR="00682B40" w:rsidRPr="00875208" w:rsidTr="004B4447">
        <w:tc>
          <w:tcPr>
            <w:tcW w:w="8472" w:type="dxa"/>
            <w:shd w:val="pct10" w:color="auto" w:fill="FFFFFF"/>
            <w:vAlign w:val="center"/>
          </w:tcPr>
          <w:p w:rsidR="00682B40" w:rsidRPr="00875208" w:rsidRDefault="00682B40" w:rsidP="00F15864">
            <w:pPr>
              <w:spacing w:before="120"/>
              <w:rPr>
                <w:sz w:val="24"/>
                <w:szCs w:val="24"/>
              </w:rPr>
            </w:pPr>
            <w:r w:rsidRPr="00875208">
              <w:rPr>
                <w:sz w:val="24"/>
                <w:szCs w:val="24"/>
              </w:rPr>
              <w:br w:type="page"/>
            </w:r>
            <w:r w:rsidRPr="00875208">
              <w:rPr>
                <w:b/>
                <w:sz w:val="24"/>
                <w:szCs w:val="24"/>
              </w:rPr>
              <w:t>5. Budget and cost-effectiveness of the action</w:t>
            </w:r>
          </w:p>
        </w:tc>
        <w:tc>
          <w:tcPr>
            <w:tcW w:w="1275" w:type="dxa"/>
            <w:shd w:val="pct10" w:color="auto" w:fill="FFFFFF"/>
            <w:vAlign w:val="center"/>
          </w:tcPr>
          <w:p w:rsidR="00682B40" w:rsidRPr="00875208" w:rsidRDefault="00682B40" w:rsidP="00F15864">
            <w:pPr>
              <w:spacing w:before="120"/>
              <w:jc w:val="center"/>
              <w:rPr>
                <w:b/>
                <w:sz w:val="24"/>
                <w:szCs w:val="24"/>
              </w:rPr>
            </w:pPr>
            <w:r w:rsidRPr="00875208">
              <w:rPr>
                <w:b/>
                <w:sz w:val="24"/>
                <w:szCs w:val="24"/>
              </w:rPr>
              <w:t>15</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5.1 Are the activities appropriately reflected in the budget?</w:t>
            </w:r>
          </w:p>
        </w:tc>
        <w:tc>
          <w:tcPr>
            <w:tcW w:w="1275" w:type="dxa"/>
          </w:tcPr>
          <w:p w:rsidR="00682B40" w:rsidRPr="00875208" w:rsidRDefault="00446C56" w:rsidP="00F15864">
            <w:pPr>
              <w:spacing w:before="120"/>
              <w:jc w:val="center"/>
              <w:rPr>
                <w:sz w:val="24"/>
                <w:szCs w:val="24"/>
              </w:rPr>
            </w:pPr>
            <w:r w:rsidRPr="00875208">
              <w:rPr>
                <w:sz w:val="24"/>
                <w:szCs w:val="24"/>
              </w:rPr>
              <w:t>/ 5</w:t>
            </w:r>
          </w:p>
        </w:tc>
      </w:tr>
      <w:tr w:rsidR="00682B40" w:rsidRPr="00875208" w:rsidTr="004B4447">
        <w:tc>
          <w:tcPr>
            <w:tcW w:w="8472" w:type="dxa"/>
          </w:tcPr>
          <w:p w:rsidR="00682B40" w:rsidRPr="00875208" w:rsidRDefault="00682B40" w:rsidP="00F15864">
            <w:pPr>
              <w:spacing w:before="120"/>
              <w:ind w:left="340" w:hanging="340"/>
              <w:rPr>
                <w:sz w:val="24"/>
                <w:szCs w:val="24"/>
              </w:rPr>
            </w:pPr>
            <w:r w:rsidRPr="00875208">
              <w:rPr>
                <w:sz w:val="24"/>
                <w:szCs w:val="24"/>
              </w:rPr>
              <w:t>5.2 Is the ratio between the estimated costs and the expected results satisfactory?</w:t>
            </w:r>
          </w:p>
        </w:tc>
        <w:tc>
          <w:tcPr>
            <w:tcW w:w="1275" w:type="dxa"/>
          </w:tcPr>
          <w:p w:rsidR="00682B40" w:rsidRPr="00875208" w:rsidRDefault="00446C56" w:rsidP="00F15864">
            <w:pPr>
              <w:spacing w:before="120"/>
              <w:jc w:val="center"/>
              <w:rPr>
                <w:sz w:val="24"/>
                <w:szCs w:val="24"/>
              </w:rPr>
            </w:pPr>
            <w:r w:rsidRPr="00875208">
              <w:rPr>
                <w:sz w:val="24"/>
                <w:szCs w:val="24"/>
              </w:rPr>
              <w:t>/ 10</w:t>
            </w:r>
          </w:p>
        </w:tc>
      </w:tr>
      <w:tr w:rsidR="00682B40" w:rsidRPr="00875208" w:rsidTr="004B4447">
        <w:tc>
          <w:tcPr>
            <w:tcW w:w="8472" w:type="dxa"/>
            <w:shd w:val="pct10" w:color="auto" w:fill="FFFFFF"/>
            <w:vAlign w:val="center"/>
          </w:tcPr>
          <w:p w:rsidR="00682B40" w:rsidRPr="00875208" w:rsidRDefault="00682B40" w:rsidP="00F15864">
            <w:pPr>
              <w:spacing w:before="120"/>
              <w:rPr>
                <w:b/>
                <w:sz w:val="24"/>
                <w:szCs w:val="24"/>
              </w:rPr>
            </w:pPr>
            <w:r w:rsidRPr="00875208">
              <w:rPr>
                <w:b/>
                <w:sz w:val="24"/>
                <w:szCs w:val="24"/>
              </w:rPr>
              <w:t>Maximum total score</w:t>
            </w:r>
          </w:p>
        </w:tc>
        <w:tc>
          <w:tcPr>
            <w:tcW w:w="1275" w:type="dxa"/>
            <w:shd w:val="pct10" w:color="auto" w:fill="FFFFFF"/>
            <w:vAlign w:val="center"/>
          </w:tcPr>
          <w:p w:rsidR="00682B40" w:rsidRPr="00875208" w:rsidRDefault="00281295" w:rsidP="00F15864">
            <w:pPr>
              <w:spacing w:before="120"/>
              <w:jc w:val="center"/>
              <w:rPr>
                <w:b/>
                <w:sz w:val="24"/>
                <w:szCs w:val="24"/>
              </w:rPr>
            </w:pPr>
            <w:r w:rsidRPr="00875208">
              <w:rPr>
                <w:b/>
                <w:sz w:val="24"/>
                <w:szCs w:val="24"/>
              </w:rPr>
              <w:t>100</w:t>
            </w:r>
          </w:p>
        </w:tc>
      </w:tr>
    </w:tbl>
    <w:p w:rsidR="00ED5802" w:rsidRPr="00875208" w:rsidRDefault="00ED5802" w:rsidP="006F280A">
      <w:pPr>
        <w:rPr>
          <w:i/>
          <w:sz w:val="24"/>
          <w:szCs w:val="24"/>
        </w:rPr>
      </w:pPr>
      <w:r w:rsidRPr="00875208">
        <w:rPr>
          <w:i/>
          <w:sz w:val="24"/>
          <w:szCs w:val="24"/>
        </w:rPr>
        <w:lastRenderedPageBreak/>
        <w:t xml:space="preserve">Note on </w:t>
      </w:r>
      <w:r w:rsidR="00281295" w:rsidRPr="00875208">
        <w:rPr>
          <w:i/>
          <w:sz w:val="24"/>
          <w:szCs w:val="24"/>
        </w:rPr>
        <w:t>s</w:t>
      </w:r>
      <w:r w:rsidRPr="00875208">
        <w:rPr>
          <w:i/>
          <w:sz w:val="24"/>
          <w:szCs w:val="24"/>
        </w:rPr>
        <w:t>ection 1. Financial and operational capacity</w:t>
      </w:r>
    </w:p>
    <w:p w:rsidR="00F248A3" w:rsidRPr="00875208" w:rsidRDefault="00F248A3" w:rsidP="006F280A">
      <w:pPr>
        <w:rPr>
          <w:sz w:val="24"/>
          <w:szCs w:val="24"/>
        </w:rPr>
      </w:pPr>
      <w:r w:rsidRPr="00875208">
        <w:rPr>
          <w:sz w:val="24"/>
          <w:szCs w:val="24"/>
        </w:rPr>
        <w:t xml:space="preserve">If the </w:t>
      </w:r>
      <w:r w:rsidR="00281295" w:rsidRPr="00875208">
        <w:rPr>
          <w:sz w:val="24"/>
          <w:szCs w:val="24"/>
        </w:rPr>
        <w:t>total score for section 1 is less than 12 points</w:t>
      </w:r>
      <w:r w:rsidR="00B10F3E" w:rsidRPr="00875208">
        <w:rPr>
          <w:sz w:val="24"/>
          <w:szCs w:val="24"/>
        </w:rPr>
        <w:t>,</w:t>
      </w:r>
      <w:r w:rsidRPr="00875208">
        <w:rPr>
          <w:sz w:val="24"/>
          <w:szCs w:val="24"/>
        </w:rPr>
        <w:t xml:space="preserve"> the application will be rejected.</w:t>
      </w:r>
      <w:r w:rsidR="00281295" w:rsidRPr="00875208">
        <w:rPr>
          <w:sz w:val="24"/>
          <w:szCs w:val="24"/>
        </w:rPr>
        <w:t xml:space="preserve"> If the score for at least one of the subsections under section 1 is 1, the application will also be rejected.</w:t>
      </w:r>
    </w:p>
    <w:p w:rsidR="00ED5802" w:rsidRPr="00875208" w:rsidRDefault="00ED5802" w:rsidP="006F280A">
      <w:pPr>
        <w:rPr>
          <w:i/>
          <w:sz w:val="24"/>
          <w:szCs w:val="24"/>
        </w:rPr>
      </w:pPr>
      <w:r w:rsidRPr="00875208">
        <w:rPr>
          <w:i/>
          <w:sz w:val="24"/>
          <w:szCs w:val="24"/>
        </w:rPr>
        <w:t>Provisional selection</w:t>
      </w:r>
    </w:p>
    <w:p w:rsidR="00ED5802" w:rsidRPr="00875208" w:rsidRDefault="008F3758" w:rsidP="006F280A">
      <w:pPr>
        <w:rPr>
          <w:sz w:val="24"/>
          <w:szCs w:val="24"/>
        </w:rPr>
      </w:pPr>
      <w:r w:rsidRPr="00875208">
        <w:rPr>
          <w:sz w:val="24"/>
          <w:szCs w:val="24"/>
        </w:rPr>
        <w:t xml:space="preserve">After </w:t>
      </w:r>
      <w:r w:rsidR="00ED5802" w:rsidRPr="00875208">
        <w:rPr>
          <w:sz w:val="24"/>
          <w:szCs w:val="24"/>
        </w:rPr>
        <w:t xml:space="preserve">the evaluation, a table </w:t>
      </w:r>
      <w:r w:rsidRPr="00875208">
        <w:rPr>
          <w:sz w:val="24"/>
          <w:szCs w:val="24"/>
        </w:rPr>
        <w:t xml:space="preserve">will be drawn up </w:t>
      </w:r>
      <w:r w:rsidR="00ED5802" w:rsidRPr="00875208">
        <w:rPr>
          <w:sz w:val="24"/>
          <w:szCs w:val="24"/>
        </w:rPr>
        <w:t xml:space="preserve">listing the </w:t>
      </w:r>
      <w:r w:rsidR="006459C5" w:rsidRPr="00875208">
        <w:rPr>
          <w:sz w:val="24"/>
          <w:szCs w:val="24"/>
        </w:rPr>
        <w:t>application</w:t>
      </w:r>
      <w:r w:rsidR="00ED5802" w:rsidRPr="00875208">
        <w:rPr>
          <w:sz w:val="24"/>
          <w:szCs w:val="24"/>
        </w:rPr>
        <w:t xml:space="preserve">s ranked according to their score and within the </w:t>
      </w:r>
      <w:r w:rsidR="00EF41DE" w:rsidRPr="00875208">
        <w:rPr>
          <w:sz w:val="24"/>
          <w:szCs w:val="24"/>
        </w:rPr>
        <w:t xml:space="preserve">limits of the funds </w:t>
      </w:r>
      <w:r w:rsidR="00ED5802" w:rsidRPr="00875208">
        <w:rPr>
          <w:sz w:val="24"/>
          <w:szCs w:val="24"/>
        </w:rPr>
        <w:t>available</w:t>
      </w:r>
      <w:r w:rsidR="00EF41DE" w:rsidRPr="00875208">
        <w:rPr>
          <w:sz w:val="24"/>
          <w:szCs w:val="24"/>
        </w:rPr>
        <w:t xml:space="preserve">. </w:t>
      </w:r>
      <w:r w:rsidR="004113FC" w:rsidRPr="00875208">
        <w:rPr>
          <w:sz w:val="24"/>
          <w:szCs w:val="24"/>
        </w:rPr>
        <w:t>In addition, a</w:t>
      </w:r>
      <w:r w:rsidR="00ED5802" w:rsidRPr="00875208">
        <w:rPr>
          <w:sz w:val="24"/>
          <w:szCs w:val="24"/>
        </w:rPr>
        <w:t xml:space="preserve"> reserve list </w:t>
      </w:r>
      <w:r w:rsidR="004113FC" w:rsidRPr="00875208">
        <w:rPr>
          <w:sz w:val="24"/>
          <w:szCs w:val="24"/>
        </w:rPr>
        <w:t xml:space="preserve">will be drawn up </w:t>
      </w:r>
      <w:r w:rsidR="00ED5802" w:rsidRPr="00875208">
        <w:rPr>
          <w:sz w:val="24"/>
          <w:szCs w:val="24"/>
        </w:rPr>
        <w:t>following the same criteria</w:t>
      </w:r>
      <w:r w:rsidR="004113FC" w:rsidRPr="00875208">
        <w:rPr>
          <w:sz w:val="24"/>
          <w:szCs w:val="24"/>
        </w:rPr>
        <w:t xml:space="preserve"> to be used if more funds should become available during the validity period of the reserve list</w:t>
      </w:r>
      <w:r w:rsidR="00ED5802" w:rsidRPr="00875208">
        <w:rPr>
          <w:sz w:val="24"/>
          <w:szCs w:val="24"/>
        </w:rPr>
        <w:t>.</w:t>
      </w:r>
    </w:p>
    <w:p w:rsidR="00F20A9C" w:rsidRPr="00875208" w:rsidRDefault="00F20A9C" w:rsidP="00904785">
      <w:pPr>
        <w:numPr>
          <w:ilvl w:val="0"/>
          <w:numId w:val="9"/>
        </w:numPr>
        <w:tabs>
          <w:tab w:val="left" w:pos="426"/>
        </w:tabs>
        <w:spacing w:before="240"/>
        <w:ind w:left="1418" w:hanging="1418"/>
        <w:jc w:val="left"/>
        <w:rPr>
          <w:b/>
          <w:sz w:val="24"/>
          <w:szCs w:val="24"/>
        </w:rPr>
      </w:pPr>
      <w:r w:rsidRPr="00875208">
        <w:rPr>
          <w:b/>
          <w:sz w:val="24"/>
          <w:szCs w:val="24"/>
        </w:rPr>
        <w:t xml:space="preserve">STEP </w:t>
      </w:r>
      <w:r w:rsidR="00B66332" w:rsidRPr="00875208">
        <w:rPr>
          <w:b/>
          <w:sz w:val="24"/>
          <w:szCs w:val="24"/>
        </w:rPr>
        <w:t>3</w:t>
      </w:r>
      <w:r w:rsidRPr="00875208">
        <w:rPr>
          <w:b/>
          <w:sz w:val="24"/>
          <w:szCs w:val="24"/>
        </w:rPr>
        <w:t>:</w:t>
      </w:r>
      <w:r w:rsidR="007C4C56" w:rsidRPr="00875208">
        <w:rPr>
          <w:b/>
          <w:sz w:val="24"/>
          <w:szCs w:val="24"/>
        </w:rPr>
        <w:tab/>
      </w:r>
      <w:r w:rsidR="002D0B7B" w:rsidRPr="00875208">
        <w:rPr>
          <w:b/>
          <w:sz w:val="24"/>
          <w:szCs w:val="24"/>
        </w:rPr>
        <w:t>VERIFICATION OF ELIGIBILITY OF THE APPLICANT</w:t>
      </w:r>
      <w:r w:rsidR="00FA1338" w:rsidRPr="00875208">
        <w:rPr>
          <w:b/>
          <w:sz w:val="24"/>
          <w:szCs w:val="24"/>
        </w:rPr>
        <w:t>S</w:t>
      </w:r>
      <w:r w:rsidR="002D0B7B" w:rsidRPr="00875208">
        <w:rPr>
          <w:b/>
          <w:sz w:val="24"/>
          <w:szCs w:val="24"/>
        </w:rPr>
        <w:t xml:space="preserve"> AND</w:t>
      </w:r>
      <w:r w:rsidR="00C83553">
        <w:rPr>
          <w:b/>
          <w:sz w:val="24"/>
          <w:szCs w:val="24"/>
        </w:rPr>
        <w:t xml:space="preserve"> </w:t>
      </w:r>
      <w:r w:rsidR="000D40CC" w:rsidRPr="00875208">
        <w:rPr>
          <w:b/>
          <w:sz w:val="24"/>
          <w:szCs w:val="24"/>
        </w:rPr>
        <w:t>AFFILIATED ENTITY(IES)</w:t>
      </w:r>
    </w:p>
    <w:p w:rsidR="00F20A9C" w:rsidRPr="00875208" w:rsidRDefault="006C1232" w:rsidP="006F280A">
      <w:pPr>
        <w:rPr>
          <w:sz w:val="24"/>
          <w:szCs w:val="24"/>
        </w:rPr>
      </w:pPr>
      <w:r w:rsidRPr="00875208">
        <w:rPr>
          <w:sz w:val="24"/>
          <w:szCs w:val="24"/>
        </w:rPr>
        <w:t>T</w:t>
      </w:r>
      <w:r w:rsidR="00F20A9C" w:rsidRPr="00875208">
        <w:rPr>
          <w:sz w:val="24"/>
          <w:szCs w:val="24"/>
        </w:rPr>
        <w:t>he eligibility verification</w:t>
      </w:r>
      <w:r w:rsidR="0087633A" w:rsidRPr="00875208">
        <w:rPr>
          <w:sz w:val="24"/>
          <w:szCs w:val="24"/>
        </w:rPr>
        <w:t xml:space="preserve">, based on the supporting documents requested </w:t>
      </w:r>
      <w:r w:rsidR="006D1FC0" w:rsidRPr="00875208">
        <w:rPr>
          <w:sz w:val="24"/>
          <w:szCs w:val="24"/>
        </w:rPr>
        <w:t xml:space="preserve">by </w:t>
      </w:r>
      <w:r w:rsidR="0087633A" w:rsidRPr="00875208">
        <w:rPr>
          <w:sz w:val="24"/>
          <w:szCs w:val="24"/>
        </w:rPr>
        <w:t xml:space="preserve">the Contracting Authority (see </w:t>
      </w:r>
      <w:r w:rsidR="00896ECA" w:rsidRPr="00875208">
        <w:rPr>
          <w:sz w:val="24"/>
          <w:szCs w:val="24"/>
        </w:rPr>
        <w:t>Section</w:t>
      </w:r>
      <w:r w:rsidR="0087633A" w:rsidRPr="00875208">
        <w:rPr>
          <w:sz w:val="24"/>
          <w:szCs w:val="24"/>
        </w:rPr>
        <w:t>2.4)</w:t>
      </w:r>
      <w:r w:rsidR="00F20A9C" w:rsidRPr="00875208">
        <w:rPr>
          <w:sz w:val="24"/>
          <w:szCs w:val="24"/>
        </w:rPr>
        <w:t xml:space="preserve"> will </w:t>
      </w:r>
      <w:r w:rsidR="00F20A9C" w:rsidRPr="00875208">
        <w:rPr>
          <w:sz w:val="24"/>
          <w:szCs w:val="24"/>
          <w:u w:val="single"/>
        </w:rPr>
        <w:t>only</w:t>
      </w:r>
      <w:r w:rsidR="00F20A9C" w:rsidRPr="00875208">
        <w:rPr>
          <w:sz w:val="24"/>
          <w:szCs w:val="24"/>
        </w:rPr>
        <w:t xml:space="preserve"> be performed for the </w:t>
      </w:r>
      <w:r w:rsidR="00577465" w:rsidRPr="00875208">
        <w:rPr>
          <w:sz w:val="24"/>
          <w:szCs w:val="24"/>
        </w:rPr>
        <w:t xml:space="preserve">applications </w:t>
      </w:r>
      <w:r w:rsidRPr="00875208">
        <w:rPr>
          <w:sz w:val="24"/>
          <w:szCs w:val="24"/>
        </w:rPr>
        <w:t xml:space="preserve">that have been </w:t>
      </w:r>
      <w:r w:rsidR="0049630B" w:rsidRPr="00875208">
        <w:rPr>
          <w:sz w:val="24"/>
          <w:szCs w:val="24"/>
        </w:rPr>
        <w:t>provisionally</w:t>
      </w:r>
      <w:r w:rsidR="00F16D05">
        <w:rPr>
          <w:sz w:val="24"/>
          <w:szCs w:val="24"/>
        </w:rPr>
        <w:t xml:space="preserve"> </w:t>
      </w:r>
      <w:r w:rsidR="007A3169" w:rsidRPr="00875208">
        <w:rPr>
          <w:sz w:val="24"/>
          <w:szCs w:val="24"/>
        </w:rPr>
        <w:t>selected</w:t>
      </w:r>
      <w:r w:rsidRPr="00875208">
        <w:rPr>
          <w:sz w:val="24"/>
          <w:szCs w:val="24"/>
        </w:rPr>
        <w:t xml:space="preserve"> according to their score and within the available financial envelope. </w:t>
      </w:r>
    </w:p>
    <w:p w:rsidR="00FC4EAA" w:rsidRPr="00875208" w:rsidRDefault="007A3169" w:rsidP="00904785">
      <w:pPr>
        <w:numPr>
          <w:ilvl w:val="0"/>
          <w:numId w:val="13"/>
        </w:numPr>
        <w:rPr>
          <w:sz w:val="24"/>
          <w:szCs w:val="24"/>
        </w:rPr>
      </w:pPr>
      <w:r w:rsidRPr="00875208">
        <w:rPr>
          <w:sz w:val="24"/>
          <w:szCs w:val="24"/>
        </w:rPr>
        <w:t xml:space="preserve">The </w:t>
      </w:r>
      <w:r w:rsidR="007F1763" w:rsidRPr="00875208">
        <w:rPr>
          <w:sz w:val="24"/>
          <w:szCs w:val="24"/>
        </w:rPr>
        <w:t>Declaration</w:t>
      </w:r>
      <w:r w:rsidRPr="00875208">
        <w:rPr>
          <w:sz w:val="24"/>
          <w:szCs w:val="24"/>
        </w:rPr>
        <w:t xml:space="preserve"> by the applicant (Section </w:t>
      </w:r>
      <w:r w:rsidR="00B971F7" w:rsidRPr="00875208">
        <w:rPr>
          <w:sz w:val="24"/>
          <w:szCs w:val="24"/>
        </w:rPr>
        <w:t xml:space="preserve">8 </w:t>
      </w:r>
      <w:r w:rsidRPr="00875208">
        <w:rPr>
          <w:sz w:val="24"/>
          <w:szCs w:val="24"/>
        </w:rPr>
        <w:t xml:space="preserve">of </w:t>
      </w:r>
      <w:r w:rsidR="00896ECA" w:rsidRPr="00875208">
        <w:rPr>
          <w:sz w:val="24"/>
          <w:szCs w:val="24"/>
        </w:rPr>
        <w:t>Part</w:t>
      </w:r>
      <w:r w:rsidR="00ED5802" w:rsidRPr="00875208">
        <w:rPr>
          <w:sz w:val="24"/>
          <w:szCs w:val="24"/>
        </w:rPr>
        <w:t xml:space="preserve"> B </w:t>
      </w:r>
      <w:r w:rsidRPr="00875208">
        <w:rPr>
          <w:sz w:val="24"/>
          <w:szCs w:val="24"/>
        </w:rPr>
        <w:t>the grant application form) will be cross-</w:t>
      </w:r>
      <w:r w:rsidR="00CF3CC3" w:rsidRPr="00875208">
        <w:rPr>
          <w:sz w:val="24"/>
          <w:szCs w:val="24"/>
        </w:rPr>
        <w:t xml:space="preserve">checked </w:t>
      </w:r>
      <w:r w:rsidRPr="00875208">
        <w:rPr>
          <w:sz w:val="24"/>
          <w:szCs w:val="24"/>
        </w:rPr>
        <w:t>with the supporting documents provided by the applicant</w:t>
      </w:r>
      <w:r w:rsidR="00F20A9C" w:rsidRPr="00875208">
        <w:rPr>
          <w:sz w:val="24"/>
          <w:szCs w:val="24"/>
        </w:rPr>
        <w:t xml:space="preserve">. Any </w:t>
      </w:r>
      <w:r w:rsidR="0087633A" w:rsidRPr="00875208">
        <w:rPr>
          <w:sz w:val="24"/>
          <w:szCs w:val="24"/>
        </w:rPr>
        <w:t xml:space="preserve">missing supporting document or any </w:t>
      </w:r>
      <w:r w:rsidR="00F20A9C" w:rsidRPr="00875208">
        <w:rPr>
          <w:sz w:val="24"/>
          <w:szCs w:val="24"/>
        </w:rPr>
        <w:t xml:space="preserve">incoherence between the Declaration by the applicant and the supporting documents </w:t>
      </w:r>
      <w:r w:rsidR="007F45D1" w:rsidRPr="00875208">
        <w:rPr>
          <w:sz w:val="24"/>
          <w:szCs w:val="24"/>
        </w:rPr>
        <w:t>may</w:t>
      </w:r>
      <w:r w:rsidR="00F20A9C" w:rsidRPr="00875208">
        <w:rPr>
          <w:sz w:val="24"/>
          <w:szCs w:val="24"/>
        </w:rPr>
        <w:t xml:space="preserve"> lead to the rejection of the </w:t>
      </w:r>
      <w:r w:rsidR="006459C5" w:rsidRPr="00875208">
        <w:rPr>
          <w:sz w:val="24"/>
          <w:szCs w:val="24"/>
        </w:rPr>
        <w:t>application</w:t>
      </w:r>
      <w:r w:rsidR="00F20A9C" w:rsidRPr="00875208">
        <w:rPr>
          <w:sz w:val="24"/>
          <w:szCs w:val="24"/>
        </w:rPr>
        <w:t xml:space="preserve"> on that sole basis. </w:t>
      </w:r>
    </w:p>
    <w:p w:rsidR="00FC4EAA" w:rsidRPr="00875208" w:rsidRDefault="0029175E" w:rsidP="00904785">
      <w:pPr>
        <w:numPr>
          <w:ilvl w:val="0"/>
          <w:numId w:val="13"/>
        </w:numPr>
        <w:rPr>
          <w:sz w:val="24"/>
          <w:szCs w:val="24"/>
        </w:rPr>
      </w:pPr>
      <w:r w:rsidRPr="00875208">
        <w:rPr>
          <w:sz w:val="24"/>
          <w:szCs w:val="24"/>
        </w:rPr>
        <w:t>T</w:t>
      </w:r>
      <w:r w:rsidR="007F45D1" w:rsidRPr="00875208">
        <w:rPr>
          <w:sz w:val="24"/>
          <w:szCs w:val="24"/>
        </w:rPr>
        <w:t>he eligibility of</w:t>
      </w:r>
      <w:r w:rsidR="00FC4EAA" w:rsidRPr="00875208">
        <w:rPr>
          <w:sz w:val="24"/>
          <w:szCs w:val="24"/>
        </w:rPr>
        <w:t xml:space="preserve"> applicant</w:t>
      </w:r>
      <w:r w:rsidR="009901E5" w:rsidRPr="00875208">
        <w:rPr>
          <w:sz w:val="24"/>
          <w:szCs w:val="24"/>
        </w:rPr>
        <w:t>s</w:t>
      </w:r>
      <w:r w:rsidR="00FC4EAA" w:rsidRPr="00875208">
        <w:rPr>
          <w:sz w:val="24"/>
          <w:szCs w:val="24"/>
        </w:rPr>
        <w:t xml:space="preserve">, the </w:t>
      </w:r>
      <w:r w:rsidR="009901E5" w:rsidRPr="00875208">
        <w:rPr>
          <w:sz w:val="24"/>
          <w:szCs w:val="24"/>
        </w:rPr>
        <w:t>affiliated entit</w:t>
      </w:r>
      <w:r w:rsidR="007D4CA7" w:rsidRPr="00875208">
        <w:rPr>
          <w:sz w:val="24"/>
          <w:szCs w:val="24"/>
        </w:rPr>
        <w:t>y</w:t>
      </w:r>
      <w:r w:rsidR="009901E5" w:rsidRPr="00875208">
        <w:rPr>
          <w:sz w:val="24"/>
          <w:szCs w:val="24"/>
        </w:rPr>
        <w:t>(ies)</w:t>
      </w:r>
      <w:r w:rsidR="00FC4EAA" w:rsidRPr="00875208">
        <w:rPr>
          <w:sz w:val="24"/>
          <w:szCs w:val="24"/>
        </w:rPr>
        <w:t xml:space="preserve">, and the action </w:t>
      </w:r>
      <w:r w:rsidR="007F45D1" w:rsidRPr="00875208">
        <w:rPr>
          <w:sz w:val="24"/>
          <w:szCs w:val="24"/>
        </w:rPr>
        <w:t>will be verified</w:t>
      </w:r>
      <w:r w:rsidR="00FC4EAA" w:rsidRPr="00875208">
        <w:rPr>
          <w:sz w:val="24"/>
          <w:szCs w:val="24"/>
        </w:rPr>
        <w:t xml:space="preserve"> according to the criteria set out in </w:t>
      </w:r>
      <w:r w:rsidR="00896ECA" w:rsidRPr="00875208">
        <w:rPr>
          <w:sz w:val="24"/>
          <w:szCs w:val="24"/>
        </w:rPr>
        <w:t>Section</w:t>
      </w:r>
      <w:r w:rsidR="00671019" w:rsidRPr="00875208">
        <w:rPr>
          <w:sz w:val="24"/>
          <w:szCs w:val="24"/>
        </w:rPr>
        <w:t>s</w:t>
      </w:r>
      <w:r w:rsidR="00FC4EAA" w:rsidRPr="00875208">
        <w:rPr>
          <w:sz w:val="24"/>
          <w:szCs w:val="24"/>
        </w:rPr>
        <w:t xml:space="preserve"> 2.1.1,2.1.2 and 2.1.3.</w:t>
      </w:r>
    </w:p>
    <w:p w:rsidR="005D7AF3" w:rsidRPr="00875208" w:rsidRDefault="008F3758" w:rsidP="006F280A">
      <w:pPr>
        <w:rPr>
          <w:sz w:val="24"/>
          <w:szCs w:val="24"/>
        </w:rPr>
      </w:pPr>
      <w:r w:rsidRPr="00875208">
        <w:rPr>
          <w:sz w:val="24"/>
          <w:szCs w:val="24"/>
        </w:rPr>
        <w:t>A</w:t>
      </w:r>
      <w:r w:rsidR="00CF3CC3" w:rsidRPr="00875208">
        <w:rPr>
          <w:sz w:val="24"/>
          <w:szCs w:val="24"/>
        </w:rPr>
        <w:t xml:space="preserve">ny rejected </w:t>
      </w:r>
      <w:r w:rsidR="006459C5" w:rsidRPr="00875208">
        <w:rPr>
          <w:sz w:val="24"/>
          <w:szCs w:val="24"/>
        </w:rPr>
        <w:t>application</w:t>
      </w:r>
      <w:r w:rsidR="005E65D9" w:rsidRPr="00875208">
        <w:rPr>
          <w:sz w:val="24"/>
          <w:szCs w:val="24"/>
        </w:rPr>
        <w:t xml:space="preserve"> will be replaced by the next best placed </w:t>
      </w:r>
      <w:r w:rsidR="00F16D05" w:rsidRPr="00875208">
        <w:rPr>
          <w:sz w:val="24"/>
          <w:szCs w:val="24"/>
        </w:rPr>
        <w:t>application on</w:t>
      </w:r>
      <w:r w:rsidR="00B67806" w:rsidRPr="00875208">
        <w:rPr>
          <w:sz w:val="24"/>
          <w:szCs w:val="24"/>
        </w:rPr>
        <w:t xml:space="preserve"> the reserve list that falls within the available financial envelope</w:t>
      </w:r>
      <w:r w:rsidR="00A214A2" w:rsidRPr="00875208">
        <w:rPr>
          <w:sz w:val="24"/>
          <w:szCs w:val="24"/>
        </w:rPr>
        <w:t>.</w:t>
      </w:r>
      <w:bookmarkStart w:id="41" w:name="_Toc40507654"/>
    </w:p>
    <w:p w:rsidR="0007408E" w:rsidRPr="00875208" w:rsidRDefault="00B67806" w:rsidP="004741A1">
      <w:pPr>
        <w:pStyle w:val="Guidelines2"/>
        <w:rPr>
          <w:rFonts w:ascii="Times New Roman" w:hAnsi="Times New Roman"/>
          <w:szCs w:val="24"/>
        </w:rPr>
      </w:pPr>
      <w:bookmarkStart w:id="42" w:name="_Toc384374719"/>
      <w:r w:rsidRPr="00875208">
        <w:rPr>
          <w:rFonts w:ascii="Times New Roman" w:hAnsi="Times New Roman"/>
          <w:szCs w:val="24"/>
        </w:rPr>
        <w:t xml:space="preserve">Submission of supporting documents for </w:t>
      </w:r>
      <w:r w:rsidR="00F16D05" w:rsidRPr="00875208">
        <w:rPr>
          <w:rFonts w:ascii="Times New Roman" w:hAnsi="Times New Roman"/>
          <w:szCs w:val="24"/>
        </w:rPr>
        <w:t>provisionally selected</w:t>
      </w:r>
      <w:r w:rsidRPr="00875208">
        <w:rPr>
          <w:rFonts w:ascii="Times New Roman" w:hAnsi="Times New Roman"/>
          <w:szCs w:val="24"/>
        </w:rPr>
        <w:t xml:space="preserve"> </w:t>
      </w:r>
      <w:r w:rsidR="000C00BF" w:rsidRPr="00875208">
        <w:rPr>
          <w:rFonts w:ascii="Times New Roman" w:hAnsi="Times New Roman"/>
          <w:szCs w:val="24"/>
        </w:rPr>
        <w:t>applications</w:t>
      </w:r>
      <w:bookmarkEnd w:id="41"/>
      <w:bookmarkEnd w:id="42"/>
    </w:p>
    <w:p w:rsidR="00D77A30" w:rsidRDefault="009901E5" w:rsidP="006F280A">
      <w:pPr>
        <w:rPr>
          <w:sz w:val="24"/>
          <w:szCs w:val="24"/>
        </w:rPr>
      </w:pPr>
      <w:r w:rsidRPr="00875208">
        <w:rPr>
          <w:sz w:val="24"/>
          <w:szCs w:val="24"/>
        </w:rPr>
        <w:t>An a</w:t>
      </w:r>
      <w:r w:rsidR="0007408E" w:rsidRPr="00875208">
        <w:rPr>
          <w:sz w:val="24"/>
          <w:szCs w:val="24"/>
        </w:rPr>
        <w:t xml:space="preserve">pplicant </w:t>
      </w:r>
      <w:r w:rsidR="002379BB" w:rsidRPr="00875208">
        <w:rPr>
          <w:sz w:val="24"/>
          <w:szCs w:val="24"/>
        </w:rPr>
        <w:t xml:space="preserve">that </w:t>
      </w:r>
      <w:r w:rsidR="00DE7018" w:rsidRPr="00875208">
        <w:rPr>
          <w:sz w:val="24"/>
          <w:szCs w:val="24"/>
        </w:rPr>
        <w:t>ha</w:t>
      </w:r>
      <w:r w:rsidRPr="00875208">
        <w:rPr>
          <w:sz w:val="24"/>
          <w:szCs w:val="24"/>
        </w:rPr>
        <w:t>s</w:t>
      </w:r>
      <w:r w:rsidR="00DE7018" w:rsidRPr="00875208">
        <w:rPr>
          <w:sz w:val="24"/>
          <w:szCs w:val="24"/>
        </w:rPr>
        <w:t xml:space="preserve"> been </w:t>
      </w:r>
      <w:r w:rsidR="001D5B79" w:rsidRPr="00875208">
        <w:rPr>
          <w:sz w:val="24"/>
          <w:szCs w:val="24"/>
        </w:rPr>
        <w:t xml:space="preserve">provisionally </w:t>
      </w:r>
      <w:r w:rsidR="00DE7018" w:rsidRPr="00875208">
        <w:rPr>
          <w:sz w:val="24"/>
          <w:szCs w:val="24"/>
        </w:rPr>
        <w:t xml:space="preserve">selected or </w:t>
      </w:r>
      <w:r w:rsidR="002379BB" w:rsidRPr="00875208">
        <w:rPr>
          <w:sz w:val="24"/>
          <w:szCs w:val="24"/>
        </w:rPr>
        <w:t>placed on</w:t>
      </w:r>
      <w:r w:rsidR="00DE7018" w:rsidRPr="00875208">
        <w:rPr>
          <w:sz w:val="24"/>
          <w:szCs w:val="24"/>
        </w:rPr>
        <w:t xml:space="preserve"> the reserve list </w:t>
      </w:r>
      <w:r w:rsidR="0007408E" w:rsidRPr="00875208">
        <w:rPr>
          <w:sz w:val="24"/>
          <w:szCs w:val="24"/>
        </w:rPr>
        <w:t xml:space="preserve">will be informed in writing </w:t>
      </w:r>
      <w:r w:rsidR="00DE7018" w:rsidRPr="00875208">
        <w:rPr>
          <w:sz w:val="24"/>
          <w:szCs w:val="24"/>
        </w:rPr>
        <w:t>by</w:t>
      </w:r>
      <w:r w:rsidR="0007408E" w:rsidRPr="00875208">
        <w:rPr>
          <w:sz w:val="24"/>
          <w:szCs w:val="24"/>
        </w:rPr>
        <w:t xml:space="preserve"> the </w:t>
      </w:r>
      <w:r w:rsidR="00701E4D" w:rsidRPr="00875208">
        <w:rPr>
          <w:sz w:val="24"/>
          <w:szCs w:val="24"/>
        </w:rPr>
        <w:t>C</w:t>
      </w:r>
      <w:r w:rsidR="0007408E" w:rsidRPr="00875208">
        <w:rPr>
          <w:sz w:val="24"/>
          <w:szCs w:val="24"/>
        </w:rPr>
        <w:t xml:space="preserve">ontracting </w:t>
      </w:r>
      <w:r w:rsidR="00DE7018" w:rsidRPr="00875208">
        <w:rPr>
          <w:sz w:val="24"/>
          <w:szCs w:val="24"/>
        </w:rPr>
        <w:t>Authority</w:t>
      </w:r>
      <w:r w:rsidR="009C1C8B" w:rsidRPr="00875208">
        <w:rPr>
          <w:sz w:val="24"/>
          <w:szCs w:val="24"/>
        </w:rPr>
        <w:t xml:space="preserve">. </w:t>
      </w:r>
      <w:r w:rsidR="00725B7A" w:rsidRPr="00875208">
        <w:rPr>
          <w:sz w:val="24"/>
          <w:szCs w:val="24"/>
        </w:rPr>
        <w:t xml:space="preserve">It </w:t>
      </w:r>
      <w:r w:rsidR="00DE7018" w:rsidRPr="00875208">
        <w:rPr>
          <w:sz w:val="24"/>
          <w:szCs w:val="24"/>
        </w:rPr>
        <w:t>will be requested to supply the following documents in order to allow the Contracting Authority to verify the eligibility of the applicant</w:t>
      </w:r>
      <w:r w:rsidR="005700D5" w:rsidRPr="00875208">
        <w:rPr>
          <w:sz w:val="24"/>
          <w:szCs w:val="24"/>
        </w:rPr>
        <w:t xml:space="preserve">, (if any) of the co-applicant(s) </w:t>
      </w:r>
      <w:r w:rsidR="00485E39" w:rsidRPr="00875208">
        <w:rPr>
          <w:sz w:val="24"/>
          <w:szCs w:val="24"/>
        </w:rPr>
        <w:t>and</w:t>
      </w:r>
      <w:r w:rsidR="005700D5" w:rsidRPr="00875208">
        <w:rPr>
          <w:sz w:val="24"/>
          <w:szCs w:val="24"/>
        </w:rPr>
        <w:t xml:space="preserve"> (if any</w:t>
      </w:r>
      <w:r w:rsidR="00A721A5" w:rsidRPr="00875208">
        <w:rPr>
          <w:sz w:val="24"/>
          <w:szCs w:val="24"/>
        </w:rPr>
        <w:t>) of</w:t>
      </w:r>
      <w:r w:rsidR="005700D5" w:rsidRPr="00875208">
        <w:rPr>
          <w:sz w:val="24"/>
          <w:szCs w:val="24"/>
        </w:rPr>
        <w:t xml:space="preserve"> </w:t>
      </w:r>
      <w:r w:rsidR="00485E39" w:rsidRPr="00875208">
        <w:rPr>
          <w:sz w:val="24"/>
          <w:szCs w:val="24"/>
        </w:rPr>
        <w:t xml:space="preserve">their </w:t>
      </w:r>
      <w:r w:rsidR="000D40CC" w:rsidRPr="00875208">
        <w:rPr>
          <w:sz w:val="24"/>
          <w:szCs w:val="24"/>
        </w:rPr>
        <w:t>affiliated entity(ies</w:t>
      </w:r>
      <w:r w:rsidR="00D348D9" w:rsidRPr="00875208">
        <w:rPr>
          <w:sz w:val="24"/>
          <w:szCs w:val="24"/>
        </w:rPr>
        <w:t>)</w:t>
      </w:r>
      <w:r w:rsidR="00D348D9">
        <w:rPr>
          <w:rStyle w:val="FootnoteReference"/>
          <w:szCs w:val="24"/>
        </w:rPr>
        <w:t xml:space="preserve"> </w:t>
      </w:r>
      <w:r w:rsidR="00D348D9" w:rsidRPr="00875208">
        <w:rPr>
          <w:sz w:val="24"/>
          <w:szCs w:val="24"/>
        </w:rPr>
        <w:t>:</w:t>
      </w:r>
    </w:p>
    <w:p w:rsidR="00401348" w:rsidRDefault="00A721A5" w:rsidP="00401348">
      <w:pPr>
        <w:rPr>
          <w:sz w:val="24"/>
          <w:szCs w:val="24"/>
        </w:rPr>
      </w:pPr>
      <w:r w:rsidRPr="00875208">
        <w:rPr>
          <w:sz w:val="24"/>
          <w:szCs w:val="24"/>
        </w:rPr>
        <w:t>1. The</w:t>
      </w:r>
      <w:r w:rsidR="00F80AF4" w:rsidRPr="00875208">
        <w:rPr>
          <w:sz w:val="24"/>
          <w:szCs w:val="24"/>
        </w:rPr>
        <w:t xml:space="preserve"> statutes or articles of association of the applicant, (if any) of each co-applicant(s) and (if any) of each affiliated entity(ies)</w:t>
      </w:r>
      <w:r w:rsidR="00F80AF4" w:rsidRPr="00875208">
        <w:rPr>
          <w:rStyle w:val="FootnoteReference"/>
          <w:szCs w:val="24"/>
        </w:rPr>
        <w:footnoteReference w:id="18"/>
      </w:r>
      <w:r w:rsidR="00F80AF4" w:rsidRPr="00875208">
        <w:rPr>
          <w:sz w:val="24"/>
          <w:szCs w:val="24"/>
        </w:rPr>
        <w:t>. Where the Contracting Authority has recognised the applicant’s, or the co-applicant(s)’s, or their affiliated entity(ies)’s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w:t>
      </w:r>
      <w:r w:rsidR="00F80AF4" w:rsidRPr="00875208">
        <w:rPr>
          <w:rStyle w:val="FootnoteReference"/>
          <w:szCs w:val="24"/>
        </w:rPr>
        <w:footnoteReference w:id="19"/>
      </w:r>
      <w:r w:rsidR="00F80AF4" w:rsidRPr="00875208">
        <w:rPr>
          <w:sz w:val="24"/>
          <w:szCs w:val="24"/>
        </w:rPr>
        <w:t>.  This obligation does not apply to international organisations which have signed a framework agreement with the European Commission</w:t>
      </w:r>
      <w:r w:rsidR="007E4EE8">
        <w:rPr>
          <w:sz w:val="24"/>
          <w:szCs w:val="24"/>
        </w:rPr>
        <w:t>.</w:t>
      </w:r>
    </w:p>
    <w:p w:rsidR="00066F75" w:rsidRPr="00875208" w:rsidRDefault="00F80AF4" w:rsidP="00401348">
      <w:pPr>
        <w:rPr>
          <w:sz w:val="24"/>
          <w:szCs w:val="24"/>
        </w:rPr>
      </w:pPr>
      <w:r w:rsidRPr="00875208">
        <w:rPr>
          <w:sz w:val="24"/>
          <w:szCs w:val="24"/>
        </w:rPr>
        <w:lastRenderedPageBreak/>
        <w:t xml:space="preserve">2. </w:t>
      </w:r>
      <w:r w:rsidR="00D77A30">
        <w:rPr>
          <w:sz w:val="24"/>
          <w:szCs w:val="24"/>
        </w:rPr>
        <w:t xml:space="preserve"> </w:t>
      </w:r>
      <w:r w:rsidRPr="00875208">
        <w:rPr>
          <w:sz w:val="24"/>
          <w:szCs w:val="24"/>
        </w:rPr>
        <w:t>A copy of the applicant’s latest accounts (the profit and loss account and the balance sheet for the last financial year for which the accounts have been closed)</w:t>
      </w:r>
      <w:r w:rsidRPr="00875208">
        <w:rPr>
          <w:rStyle w:val="FootnoteReference"/>
          <w:szCs w:val="24"/>
        </w:rPr>
        <w:footnoteReference w:id="20"/>
      </w:r>
      <w:r w:rsidRPr="00875208">
        <w:rPr>
          <w:sz w:val="24"/>
          <w:szCs w:val="24"/>
        </w:rPr>
        <w:t>. A copy of the latest account is neither required from (if any) the co-applicant(s) nor from (if any) affiliated entity(ies)).</w:t>
      </w:r>
    </w:p>
    <w:p w:rsidR="00066F75" w:rsidRPr="00875208" w:rsidRDefault="00F70672" w:rsidP="00066F75">
      <w:pPr>
        <w:tabs>
          <w:tab w:val="left" w:pos="567"/>
          <w:tab w:val="left" w:pos="2126"/>
          <w:tab w:val="left" w:pos="2835"/>
        </w:tabs>
        <w:spacing w:before="120"/>
        <w:rPr>
          <w:sz w:val="24"/>
          <w:szCs w:val="24"/>
        </w:rPr>
      </w:pPr>
      <w:r>
        <w:rPr>
          <w:sz w:val="24"/>
          <w:szCs w:val="24"/>
        </w:rPr>
        <w:t>3</w:t>
      </w:r>
      <w:r w:rsidR="00066F75" w:rsidRPr="00875208">
        <w:rPr>
          <w:sz w:val="24"/>
          <w:szCs w:val="24"/>
        </w:rPr>
        <w:t>. Legal entity sheet (see annex D of these Guidelines) duly completed and signed by each of the applicants (i,e by the applicant and (if any) by each co-applicant(s),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rsidR="00066F75" w:rsidRDefault="00F70672" w:rsidP="00066F75">
      <w:pPr>
        <w:tabs>
          <w:tab w:val="left" w:pos="567"/>
          <w:tab w:val="left" w:pos="2126"/>
          <w:tab w:val="left" w:pos="2835"/>
        </w:tabs>
        <w:spacing w:before="120"/>
        <w:rPr>
          <w:sz w:val="24"/>
          <w:szCs w:val="24"/>
        </w:rPr>
      </w:pPr>
      <w:r>
        <w:rPr>
          <w:sz w:val="24"/>
          <w:szCs w:val="24"/>
        </w:rPr>
        <w:t xml:space="preserve">4. </w:t>
      </w:r>
      <w:r w:rsidR="00066F75" w:rsidRPr="00875208">
        <w:rPr>
          <w:sz w:val="24"/>
          <w:szCs w:val="24"/>
        </w:rPr>
        <w:t>A financial identification form of the applicant (not from co-applicant(s)) conforming to the model attached at Annex E of these Guidelines, certified by the bank to which the payments will be made. This bank should be located in the country where the applicant is established. If the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rsidR="00D348D9" w:rsidRDefault="00F70672" w:rsidP="00066F75">
      <w:pPr>
        <w:tabs>
          <w:tab w:val="left" w:pos="567"/>
          <w:tab w:val="left" w:pos="2126"/>
          <w:tab w:val="left" w:pos="2835"/>
        </w:tabs>
        <w:spacing w:before="120"/>
        <w:rPr>
          <w:sz w:val="24"/>
          <w:szCs w:val="24"/>
        </w:rPr>
      </w:pPr>
      <w:r>
        <w:rPr>
          <w:sz w:val="24"/>
          <w:szCs w:val="24"/>
        </w:rPr>
        <w:t>5</w:t>
      </w:r>
      <w:r w:rsidR="00D348D9">
        <w:rPr>
          <w:sz w:val="24"/>
          <w:szCs w:val="24"/>
        </w:rPr>
        <w:t>. Documentation proving that infrastructure projects proposed under the applications are ‘’ready-to-go’’. The appli</w:t>
      </w:r>
      <w:r w:rsidR="00655373">
        <w:rPr>
          <w:sz w:val="24"/>
          <w:szCs w:val="24"/>
        </w:rPr>
        <w:t xml:space="preserve">cants should provide, if such </w:t>
      </w:r>
      <w:r w:rsidR="00D348D9">
        <w:rPr>
          <w:sz w:val="24"/>
          <w:szCs w:val="24"/>
        </w:rPr>
        <w:t>documentation is required for their interventions under Serbian law: project documentation, building permits, environmental assessment</w:t>
      </w:r>
      <w:r w:rsidR="00FE7940">
        <w:rPr>
          <w:sz w:val="24"/>
          <w:szCs w:val="24"/>
        </w:rPr>
        <w:t xml:space="preserve"> and any other relevant document</w:t>
      </w:r>
      <w:r w:rsidR="00D348D9">
        <w:rPr>
          <w:sz w:val="24"/>
          <w:szCs w:val="24"/>
        </w:rPr>
        <w:t xml:space="preserve">. </w:t>
      </w:r>
    </w:p>
    <w:p w:rsidR="00F80AF4" w:rsidRPr="00875208" w:rsidRDefault="00F80AF4" w:rsidP="008C47E5">
      <w:pPr>
        <w:tabs>
          <w:tab w:val="left" w:pos="567"/>
          <w:tab w:val="left" w:pos="2126"/>
          <w:tab w:val="left" w:pos="2835"/>
        </w:tabs>
        <w:spacing w:before="120"/>
        <w:rPr>
          <w:sz w:val="24"/>
          <w:szCs w:val="24"/>
        </w:rPr>
      </w:pPr>
      <w:r w:rsidRPr="00875208">
        <w:rPr>
          <w:sz w:val="24"/>
          <w:szCs w:val="24"/>
        </w:rPr>
        <w:t>Where the requested supporting documents are not uploaded in PADOR they must be supplied in the form of originals, photocopies or scanned versions (i.e. showing legible stamps, signatures and dates) of the said originals.</w:t>
      </w:r>
      <w:r w:rsidR="000D126E" w:rsidRPr="00875208">
        <w:rPr>
          <w:sz w:val="24"/>
          <w:szCs w:val="24"/>
        </w:rPr>
        <w:t xml:space="preserve"> However, the Legal entity sheet and the financial identification form must always be submitted in original.</w:t>
      </w:r>
    </w:p>
    <w:p w:rsidR="00F80AF4" w:rsidRPr="00875208" w:rsidRDefault="00F80AF4" w:rsidP="00F80AF4">
      <w:pPr>
        <w:rPr>
          <w:sz w:val="24"/>
          <w:szCs w:val="24"/>
        </w:rPr>
      </w:pPr>
      <w:r w:rsidRPr="00875208">
        <w:rPr>
          <w:sz w:val="24"/>
          <w:szCs w:val="24"/>
        </w:rPr>
        <w:t>Where such documents are not in one of the official languages of the European Union</w:t>
      </w:r>
      <w:r w:rsidR="007059A6">
        <w:rPr>
          <w:sz w:val="24"/>
          <w:szCs w:val="24"/>
        </w:rPr>
        <w:t xml:space="preserve"> or in the language of the country w</w:t>
      </w:r>
      <w:r w:rsidR="00655373">
        <w:rPr>
          <w:sz w:val="24"/>
          <w:szCs w:val="24"/>
        </w:rPr>
        <w:t xml:space="preserve">here the action is implemented, </w:t>
      </w:r>
      <w:r w:rsidRPr="00875208">
        <w:rPr>
          <w:sz w:val="24"/>
          <w:szCs w:val="24"/>
        </w:rPr>
        <w:t xml:space="preserve">a translation into the </w:t>
      </w:r>
      <w:r w:rsidR="000D126E" w:rsidRPr="00875208">
        <w:rPr>
          <w:sz w:val="24"/>
          <w:szCs w:val="24"/>
        </w:rPr>
        <w:t xml:space="preserve">English </w:t>
      </w:r>
      <w:r w:rsidRPr="00875208">
        <w:rPr>
          <w:sz w:val="24"/>
          <w:szCs w:val="24"/>
        </w:rPr>
        <w:t>of the relevant parts of these documents proving the applicant(s)'s eligibility, must be attached for the purpose of analysing the application.</w:t>
      </w:r>
    </w:p>
    <w:p w:rsidR="00F80AF4" w:rsidRPr="00875208" w:rsidRDefault="00F80AF4" w:rsidP="00F80AF4">
      <w:pPr>
        <w:rPr>
          <w:rStyle w:val="StyleListBullet11ptChar"/>
          <w:sz w:val="24"/>
          <w:szCs w:val="24"/>
        </w:rPr>
      </w:pPr>
      <w:r w:rsidRPr="00875208">
        <w:rPr>
          <w:rStyle w:val="StyleListBullet11ptChar"/>
          <w:sz w:val="24"/>
          <w:szCs w:val="24"/>
        </w:rPr>
        <w:t xml:space="preserve">Where these documents are in an official language of the European Union other than </w:t>
      </w:r>
      <w:r w:rsidR="00044FD4" w:rsidRPr="00875208">
        <w:rPr>
          <w:rStyle w:val="StyleListBullet11ptChar"/>
          <w:sz w:val="24"/>
          <w:szCs w:val="24"/>
          <w:lang w:val="en-US"/>
        </w:rPr>
        <w:t>English</w:t>
      </w:r>
      <w:r w:rsidRPr="00875208">
        <w:rPr>
          <w:rStyle w:val="StyleListBullet11ptChar"/>
          <w:sz w:val="24"/>
          <w:szCs w:val="24"/>
        </w:rPr>
        <w:t xml:space="preserve">, it is </w:t>
      </w:r>
      <w:r w:rsidRPr="00875208">
        <w:rPr>
          <w:b/>
          <w:sz w:val="24"/>
          <w:szCs w:val="24"/>
        </w:rPr>
        <w:t xml:space="preserve">strongly </w:t>
      </w:r>
      <w:r w:rsidRPr="00875208">
        <w:rPr>
          <w:rStyle w:val="StyleListBullet11ptChar"/>
          <w:sz w:val="24"/>
          <w:szCs w:val="24"/>
        </w:rPr>
        <w:t xml:space="preserve">recommended, in order to facilitate the evaluation, to provide a translation of the relevant parts of the documents, proving the applicants' eligibility, into </w:t>
      </w:r>
      <w:r w:rsidR="000D126E" w:rsidRPr="00875208">
        <w:rPr>
          <w:rStyle w:val="StyleListBullet11ptChar"/>
          <w:sz w:val="24"/>
          <w:szCs w:val="24"/>
          <w:lang w:val="en-US"/>
        </w:rPr>
        <w:t>English</w:t>
      </w:r>
      <w:r w:rsidRPr="00875208">
        <w:rPr>
          <w:rStyle w:val="StyleListBullet11ptChar"/>
          <w:sz w:val="24"/>
          <w:szCs w:val="24"/>
        </w:rPr>
        <w:t>.</w:t>
      </w:r>
    </w:p>
    <w:p w:rsidR="00F80AF4" w:rsidRPr="00875208" w:rsidRDefault="00F80AF4" w:rsidP="00F80AF4">
      <w:pPr>
        <w:rPr>
          <w:sz w:val="24"/>
          <w:szCs w:val="24"/>
        </w:rPr>
      </w:pPr>
      <w:r w:rsidRPr="00875208">
        <w:rPr>
          <w:sz w:val="24"/>
          <w:szCs w:val="24"/>
        </w:rPr>
        <w:t>If the abovementioned supporting documents are not provided before the deadline indicated in the request for supporting documents sent to the applicant by the Contracting Authority, the application may be rejected.</w:t>
      </w:r>
    </w:p>
    <w:p w:rsidR="00F80AF4" w:rsidRPr="00875208" w:rsidRDefault="00F80AF4" w:rsidP="00F80AF4">
      <w:pPr>
        <w:rPr>
          <w:sz w:val="24"/>
          <w:szCs w:val="24"/>
        </w:rPr>
      </w:pPr>
      <w:r w:rsidRPr="00875208">
        <w:rPr>
          <w:sz w:val="24"/>
          <w:szCs w:val="24"/>
        </w:rPr>
        <w:t>After verifying the supporting documents, the Evaluation Committee will make a final recommendation to the Contracting Authority, which will decide on the award of grants.</w:t>
      </w:r>
    </w:p>
    <w:p w:rsidR="00F80AF4" w:rsidRPr="00875208" w:rsidRDefault="00F80AF4" w:rsidP="00942C65">
      <w:pPr>
        <w:ind w:left="567" w:hanging="567"/>
        <w:rPr>
          <w:sz w:val="24"/>
          <w:szCs w:val="24"/>
        </w:rPr>
      </w:pPr>
      <w:r w:rsidRPr="00875208">
        <w:rPr>
          <w:sz w:val="24"/>
          <w:szCs w:val="24"/>
        </w:rPr>
        <w:t>NB :</w:t>
      </w:r>
      <w:r w:rsidRPr="00875208">
        <w:rPr>
          <w:sz w:val="24"/>
          <w:szCs w:val="24"/>
        </w:rPr>
        <w:tab/>
        <w:t>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applicant has to submit the applic</w:t>
      </w:r>
      <w:r w:rsidR="00942C65">
        <w:rPr>
          <w:sz w:val="24"/>
          <w:szCs w:val="24"/>
        </w:rPr>
        <w:t>ation form revised accordingly.</w:t>
      </w:r>
    </w:p>
    <w:p w:rsidR="009348D1" w:rsidRPr="00875208" w:rsidRDefault="00B67806" w:rsidP="004741A1">
      <w:pPr>
        <w:pStyle w:val="Guidelines2"/>
        <w:rPr>
          <w:rFonts w:ascii="Times New Roman" w:hAnsi="Times New Roman"/>
          <w:szCs w:val="24"/>
        </w:rPr>
      </w:pPr>
      <w:bookmarkStart w:id="43" w:name="_Toc384374720"/>
      <w:r w:rsidRPr="00875208">
        <w:rPr>
          <w:rFonts w:ascii="Times New Roman" w:hAnsi="Times New Roman"/>
          <w:szCs w:val="24"/>
        </w:rPr>
        <w:lastRenderedPageBreak/>
        <w:t>Notification of the Contracting Authority’s decision</w:t>
      </w:r>
      <w:bookmarkEnd w:id="43"/>
    </w:p>
    <w:p w:rsidR="00A57627" w:rsidRPr="00875208" w:rsidRDefault="00A57627" w:rsidP="00203ABF">
      <w:pPr>
        <w:pStyle w:val="Guidelines3"/>
        <w:rPr>
          <w:szCs w:val="24"/>
        </w:rPr>
      </w:pPr>
      <w:bookmarkStart w:id="44" w:name="_Toc384374721"/>
      <w:r w:rsidRPr="00875208">
        <w:rPr>
          <w:szCs w:val="24"/>
        </w:rPr>
        <w:t>Content of the decision</w:t>
      </w:r>
      <w:bookmarkEnd w:id="44"/>
    </w:p>
    <w:p w:rsidR="00AA4FE0" w:rsidRPr="00875208" w:rsidRDefault="008A7A99" w:rsidP="00984331">
      <w:pPr>
        <w:spacing w:before="240"/>
        <w:rPr>
          <w:sz w:val="24"/>
          <w:szCs w:val="24"/>
        </w:rPr>
      </w:pPr>
      <w:r w:rsidRPr="00875208">
        <w:rPr>
          <w:sz w:val="24"/>
          <w:szCs w:val="24"/>
        </w:rPr>
        <w:t>The a</w:t>
      </w:r>
      <w:r w:rsidR="00AA4FE0" w:rsidRPr="00875208">
        <w:rPr>
          <w:sz w:val="24"/>
          <w:szCs w:val="24"/>
        </w:rPr>
        <w:t>pplicant</w:t>
      </w:r>
      <w:r w:rsidR="0067474F" w:rsidRPr="00875208">
        <w:rPr>
          <w:sz w:val="24"/>
          <w:szCs w:val="24"/>
        </w:rPr>
        <w:t>s</w:t>
      </w:r>
      <w:r w:rsidR="00AA4FE0" w:rsidRPr="00875208">
        <w:rPr>
          <w:sz w:val="24"/>
          <w:szCs w:val="24"/>
        </w:rPr>
        <w:t xml:space="preserve"> will be informed in writing of the Contracting Authority’s decision concerning their application</w:t>
      </w:r>
      <w:r w:rsidR="000D5F55" w:rsidRPr="00875208">
        <w:rPr>
          <w:sz w:val="24"/>
          <w:szCs w:val="24"/>
        </w:rPr>
        <w:t xml:space="preserve"> and</w:t>
      </w:r>
      <w:r w:rsidR="00E9669E" w:rsidRPr="00875208">
        <w:rPr>
          <w:sz w:val="24"/>
          <w:szCs w:val="24"/>
        </w:rPr>
        <w:t>, i</w:t>
      </w:r>
      <w:r w:rsidR="008B3646" w:rsidRPr="00875208">
        <w:rPr>
          <w:sz w:val="24"/>
          <w:szCs w:val="24"/>
        </w:rPr>
        <w:t>f</w:t>
      </w:r>
      <w:r w:rsidR="00E9669E" w:rsidRPr="00875208">
        <w:rPr>
          <w:sz w:val="24"/>
          <w:szCs w:val="24"/>
        </w:rPr>
        <w:t xml:space="preserve"> reject</w:t>
      </w:r>
      <w:r w:rsidR="008B3646" w:rsidRPr="00875208">
        <w:rPr>
          <w:sz w:val="24"/>
          <w:szCs w:val="24"/>
        </w:rPr>
        <w:t>ed</w:t>
      </w:r>
      <w:r w:rsidR="00E9669E" w:rsidRPr="00875208">
        <w:rPr>
          <w:sz w:val="24"/>
          <w:szCs w:val="24"/>
        </w:rPr>
        <w:t>,</w:t>
      </w:r>
      <w:r w:rsidR="000D5F55" w:rsidRPr="00875208">
        <w:rPr>
          <w:sz w:val="24"/>
          <w:szCs w:val="24"/>
        </w:rPr>
        <w:t xml:space="preserve"> the reasons for the </w:t>
      </w:r>
      <w:r w:rsidR="00E9669E" w:rsidRPr="00875208">
        <w:rPr>
          <w:sz w:val="24"/>
          <w:szCs w:val="24"/>
        </w:rPr>
        <w:t xml:space="preserve">negative </w:t>
      </w:r>
      <w:r w:rsidR="000D5F55" w:rsidRPr="00875208">
        <w:rPr>
          <w:sz w:val="24"/>
          <w:szCs w:val="24"/>
        </w:rPr>
        <w:t>decision</w:t>
      </w:r>
      <w:r w:rsidR="00AA4FE0" w:rsidRPr="00875208">
        <w:rPr>
          <w:sz w:val="24"/>
          <w:szCs w:val="24"/>
        </w:rPr>
        <w:t>.</w:t>
      </w:r>
    </w:p>
    <w:p w:rsidR="00367AA3" w:rsidRPr="00875208" w:rsidRDefault="008A7A99" w:rsidP="00984331">
      <w:pPr>
        <w:rPr>
          <w:sz w:val="24"/>
          <w:szCs w:val="24"/>
        </w:rPr>
      </w:pPr>
      <w:r w:rsidRPr="00875208">
        <w:rPr>
          <w:sz w:val="24"/>
          <w:szCs w:val="24"/>
        </w:rPr>
        <w:t>An a</w:t>
      </w:r>
      <w:r w:rsidR="000D5F55" w:rsidRPr="00875208">
        <w:rPr>
          <w:sz w:val="24"/>
          <w:szCs w:val="24"/>
        </w:rPr>
        <w:t xml:space="preserve">pplicant believing that </w:t>
      </w:r>
      <w:r w:rsidRPr="00875208">
        <w:rPr>
          <w:sz w:val="24"/>
          <w:szCs w:val="24"/>
        </w:rPr>
        <w:t xml:space="preserve">it has </w:t>
      </w:r>
      <w:r w:rsidR="000D5F55" w:rsidRPr="00875208">
        <w:rPr>
          <w:sz w:val="24"/>
          <w:szCs w:val="24"/>
        </w:rPr>
        <w:t xml:space="preserve">been harmed by an error or irregularity during the award process may </w:t>
      </w:r>
      <w:r w:rsidR="008B3646" w:rsidRPr="00875208">
        <w:rPr>
          <w:sz w:val="24"/>
          <w:szCs w:val="24"/>
        </w:rPr>
        <w:t xml:space="preserve">lodge </w:t>
      </w:r>
      <w:r w:rsidR="00260548" w:rsidRPr="00875208">
        <w:rPr>
          <w:sz w:val="24"/>
          <w:szCs w:val="24"/>
        </w:rPr>
        <w:t xml:space="preserve">a complaint. See further </w:t>
      </w:r>
      <w:r w:rsidR="00896ECA" w:rsidRPr="00875208">
        <w:rPr>
          <w:sz w:val="24"/>
          <w:szCs w:val="24"/>
        </w:rPr>
        <w:t>Section</w:t>
      </w:r>
      <w:r w:rsidR="00260548" w:rsidRPr="00875208">
        <w:rPr>
          <w:sz w:val="24"/>
          <w:szCs w:val="24"/>
        </w:rPr>
        <w:t xml:space="preserve"> 2.4.1</w:t>
      </w:r>
      <w:r w:rsidR="00A63ACF" w:rsidRPr="00875208">
        <w:rPr>
          <w:sz w:val="24"/>
          <w:szCs w:val="24"/>
        </w:rPr>
        <w:t>5</w:t>
      </w:r>
      <w:r w:rsidR="00260548" w:rsidRPr="00875208">
        <w:rPr>
          <w:sz w:val="24"/>
          <w:szCs w:val="24"/>
        </w:rPr>
        <w:t xml:space="preserve"> of the Practical Guide. </w:t>
      </w:r>
    </w:p>
    <w:p w:rsidR="0097715A" w:rsidRPr="00F16D05" w:rsidRDefault="0097715A" w:rsidP="00203ABF">
      <w:pPr>
        <w:pStyle w:val="Guidelines3"/>
        <w:rPr>
          <w:szCs w:val="24"/>
        </w:rPr>
      </w:pPr>
      <w:bookmarkStart w:id="45" w:name="_Toc384374722"/>
      <w:r w:rsidRPr="00F16D05">
        <w:rPr>
          <w:szCs w:val="24"/>
        </w:rPr>
        <w:t>Indicative timetable</w:t>
      </w:r>
      <w:bookmarkEnd w:id="45"/>
    </w:p>
    <w:p w:rsidR="000E38CD" w:rsidRPr="00875208" w:rsidRDefault="000E38CD" w:rsidP="00984331">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75208" w:rsidTr="00984331">
        <w:tc>
          <w:tcPr>
            <w:tcW w:w="4678" w:type="dxa"/>
            <w:tcBorders>
              <w:bottom w:val="nil"/>
            </w:tcBorders>
          </w:tcPr>
          <w:p w:rsidR="0013435B" w:rsidRPr="00875208" w:rsidRDefault="0013435B" w:rsidP="00F15864">
            <w:pPr>
              <w:spacing w:before="120"/>
              <w:rPr>
                <w:sz w:val="24"/>
                <w:szCs w:val="24"/>
              </w:rPr>
            </w:pPr>
          </w:p>
        </w:tc>
        <w:tc>
          <w:tcPr>
            <w:tcW w:w="2552" w:type="dxa"/>
            <w:shd w:val="pct10" w:color="auto" w:fill="FFFFFF"/>
          </w:tcPr>
          <w:p w:rsidR="0013435B" w:rsidRPr="00875208" w:rsidRDefault="0013435B" w:rsidP="00F15864">
            <w:pPr>
              <w:spacing w:before="120"/>
              <w:jc w:val="center"/>
              <w:rPr>
                <w:b/>
                <w:sz w:val="24"/>
                <w:szCs w:val="24"/>
              </w:rPr>
            </w:pPr>
            <w:r w:rsidRPr="00875208">
              <w:rPr>
                <w:b/>
                <w:sz w:val="24"/>
                <w:szCs w:val="24"/>
              </w:rPr>
              <w:t>DATE</w:t>
            </w:r>
          </w:p>
        </w:tc>
        <w:tc>
          <w:tcPr>
            <w:tcW w:w="2551" w:type="dxa"/>
            <w:tcBorders>
              <w:bottom w:val="nil"/>
            </w:tcBorders>
            <w:shd w:val="pct10" w:color="auto" w:fill="FFFFFF"/>
          </w:tcPr>
          <w:p w:rsidR="0013435B" w:rsidRPr="00875208" w:rsidRDefault="0013435B" w:rsidP="00F15864">
            <w:pPr>
              <w:spacing w:before="120"/>
              <w:jc w:val="center"/>
              <w:rPr>
                <w:b/>
                <w:sz w:val="24"/>
                <w:szCs w:val="24"/>
              </w:rPr>
            </w:pPr>
            <w:r w:rsidRPr="00875208">
              <w:rPr>
                <w:b/>
                <w:sz w:val="24"/>
                <w:szCs w:val="24"/>
              </w:rPr>
              <w:t>TIME*</w:t>
            </w:r>
          </w:p>
        </w:tc>
      </w:tr>
      <w:tr w:rsidR="0013435B" w:rsidRPr="00875208" w:rsidTr="00984331">
        <w:tc>
          <w:tcPr>
            <w:tcW w:w="4678" w:type="dxa"/>
            <w:shd w:val="pct10" w:color="auto" w:fill="FFFFFF"/>
          </w:tcPr>
          <w:p w:rsidR="0013435B" w:rsidRPr="00875208" w:rsidRDefault="0013435B" w:rsidP="00984331">
            <w:pPr>
              <w:spacing w:before="120"/>
              <w:jc w:val="left"/>
              <w:rPr>
                <w:b/>
                <w:sz w:val="24"/>
                <w:szCs w:val="24"/>
              </w:rPr>
            </w:pPr>
            <w:r w:rsidRPr="00875208">
              <w:rPr>
                <w:b/>
                <w:sz w:val="24"/>
                <w:szCs w:val="24"/>
              </w:rPr>
              <w:t>Information meeting (if any)</w:t>
            </w:r>
          </w:p>
        </w:tc>
        <w:tc>
          <w:tcPr>
            <w:tcW w:w="2552" w:type="dxa"/>
          </w:tcPr>
          <w:p w:rsidR="0013435B" w:rsidRPr="00875208" w:rsidRDefault="004E7C95" w:rsidP="00D320EE">
            <w:pPr>
              <w:spacing w:before="120"/>
              <w:jc w:val="center"/>
              <w:rPr>
                <w:sz w:val="24"/>
                <w:szCs w:val="24"/>
              </w:rPr>
            </w:pPr>
            <w:r>
              <w:rPr>
                <w:sz w:val="24"/>
                <w:szCs w:val="24"/>
              </w:rPr>
              <w:t>Will be published separately</w:t>
            </w:r>
          </w:p>
        </w:tc>
        <w:tc>
          <w:tcPr>
            <w:tcW w:w="2551" w:type="dxa"/>
          </w:tcPr>
          <w:p w:rsidR="0013435B" w:rsidRPr="00875208" w:rsidRDefault="004E7C95">
            <w:pPr>
              <w:spacing w:before="120"/>
              <w:jc w:val="center"/>
              <w:rPr>
                <w:sz w:val="24"/>
                <w:szCs w:val="24"/>
              </w:rPr>
            </w:pPr>
            <w:r>
              <w:rPr>
                <w:sz w:val="24"/>
                <w:szCs w:val="24"/>
              </w:rPr>
              <w:t>Will be published separately</w:t>
            </w:r>
          </w:p>
        </w:tc>
      </w:tr>
      <w:tr w:rsidR="0013435B" w:rsidRPr="00875208" w:rsidTr="00984331">
        <w:tc>
          <w:tcPr>
            <w:tcW w:w="4678" w:type="dxa"/>
            <w:shd w:val="pct10" w:color="auto" w:fill="FFFFFF"/>
          </w:tcPr>
          <w:p w:rsidR="0013435B" w:rsidRPr="00875208" w:rsidRDefault="0013435B" w:rsidP="00984331">
            <w:pPr>
              <w:spacing w:before="120"/>
              <w:jc w:val="left"/>
              <w:rPr>
                <w:b/>
                <w:sz w:val="24"/>
                <w:szCs w:val="24"/>
              </w:rPr>
            </w:pPr>
            <w:r w:rsidRPr="00875208">
              <w:rPr>
                <w:b/>
                <w:sz w:val="24"/>
                <w:szCs w:val="24"/>
              </w:rPr>
              <w:t>Deadline for request</w:t>
            </w:r>
            <w:r w:rsidR="009B7BB7" w:rsidRPr="00875208">
              <w:rPr>
                <w:b/>
                <w:sz w:val="24"/>
                <w:szCs w:val="24"/>
              </w:rPr>
              <w:t>ing</w:t>
            </w:r>
            <w:r w:rsidRPr="00875208">
              <w:rPr>
                <w:b/>
                <w:sz w:val="24"/>
                <w:szCs w:val="24"/>
              </w:rPr>
              <w:t xml:space="preserve"> any clarifications from the Contracting Authority</w:t>
            </w:r>
          </w:p>
        </w:tc>
        <w:tc>
          <w:tcPr>
            <w:tcW w:w="2552" w:type="dxa"/>
          </w:tcPr>
          <w:p w:rsidR="0013435B" w:rsidRPr="00875208" w:rsidRDefault="00961B29" w:rsidP="00F15864">
            <w:pPr>
              <w:spacing w:before="120"/>
              <w:jc w:val="center"/>
              <w:rPr>
                <w:sz w:val="24"/>
                <w:szCs w:val="24"/>
              </w:rPr>
            </w:pPr>
            <w:r>
              <w:rPr>
                <w:sz w:val="24"/>
                <w:szCs w:val="24"/>
              </w:rPr>
              <w:t>07</w:t>
            </w:r>
            <w:r w:rsidR="004E7C95">
              <w:rPr>
                <w:sz w:val="24"/>
                <w:szCs w:val="24"/>
              </w:rPr>
              <w:t>/04/2015</w:t>
            </w:r>
          </w:p>
        </w:tc>
        <w:tc>
          <w:tcPr>
            <w:tcW w:w="2551" w:type="dxa"/>
          </w:tcPr>
          <w:p w:rsidR="0013435B" w:rsidRPr="00875208" w:rsidRDefault="004F4444" w:rsidP="00F15864">
            <w:pPr>
              <w:spacing w:before="120"/>
              <w:jc w:val="center"/>
              <w:rPr>
                <w:sz w:val="24"/>
                <w:szCs w:val="24"/>
              </w:rPr>
            </w:pPr>
            <w:r>
              <w:rPr>
                <w:sz w:val="24"/>
                <w:szCs w:val="24"/>
              </w:rPr>
              <w:t>15:00</w:t>
            </w:r>
          </w:p>
        </w:tc>
      </w:tr>
      <w:tr w:rsidR="0013435B" w:rsidRPr="00875208" w:rsidTr="00984331">
        <w:tc>
          <w:tcPr>
            <w:tcW w:w="4678" w:type="dxa"/>
            <w:shd w:val="pct10" w:color="auto" w:fill="FFFFFF"/>
          </w:tcPr>
          <w:p w:rsidR="0013435B" w:rsidRPr="00875208" w:rsidRDefault="0013435B" w:rsidP="00984331">
            <w:pPr>
              <w:spacing w:before="120"/>
              <w:jc w:val="left"/>
              <w:rPr>
                <w:b/>
                <w:sz w:val="24"/>
                <w:szCs w:val="24"/>
              </w:rPr>
            </w:pPr>
            <w:r w:rsidRPr="00875208">
              <w:rPr>
                <w:b/>
                <w:sz w:val="24"/>
                <w:szCs w:val="24"/>
              </w:rPr>
              <w:t>Last date on which clarifications are issued by the Contracting Authority</w:t>
            </w:r>
          </w:p>
        </w:tc>
        <w:tc>
          <w:tcPr>
            <w:tcW w:w="2552" w:type="dxa"/>
          </w:tcPr>
          <w:p w:rsidR="0013435B" w:rsidRPr="00875208" w:rsidRDefault="00961B29" w:rsidP="00F15864">
            <w:pPr>
              <w:spacing w:before="120"/>
              <w:jc w:val="center"/>
              <w:rPr>
                <w:sz w:val="24"/>
                <w:szCs w:val="24"/>
              </w:rPr>
            </w:pPr>
            <w:r>
              <w:rPr>
                <w:sz w:val="24"/>
                <w:szCs w:val="24"/>
              </w:rPr>
              <w:t>17</w:t>
            </w:r>
            <w:r w:rsidR="004E7C95">
              <w:rPr>
                <w:sz w:val="24"/>
                <w:szCs w:val="24"/>
              </w:rPr>
              <w:t>/04/2015</w:t>
            </w:r>
          </w:p>
        </w:tc>
        <w:tc>
          <w:tcPr>
            <w:tcW w:w="2551" w:type="dxa"/>
          </w:tcPr>
          <w:p w:rsidR="0013435B" w:rsidRPr="00875208" w:rsidRDefault="0013435B" w:rsidP="00F15864">
            <w:pPr>
              <w:spacing w:before="120"/>
              <w:jc w:val="center"/>
              <w:rPr>
                <w:sz w:val="24"/>
                <w:szCs w:val="24"/>
              </w:rPr>
            </w:pPr>
            <w:r w:rsidRPr="00875208">
              <w:rPr>
                <w:sz w:val="24"/>
                <w:szCs w:val="24"/>
              </w:rPr>
              <w:t>-</w:t>
            </w:r>
          </w:p>
        </w:tc>
      </w:tr>
      <w:tr w:rsidR="0013435B" w:rsidRPr="00875208" w:rsidTr="00984331">
        <w:tc>
          <w:tcPr>
            <w:tcW w:w="4678" w:type="dxa"/>
            <w:shd w:val="pct10" w:color="auto" w:fill="FFFFFF"/>
          </w:tcPr>
          <w:p w:rsidR="0013435B" w:rsidRPr="00875208" w:rsidRDefault="0013435B" w:rsidP="00A478C1">
            <w:pPr>
              <w:spacing w:before="120"/>
              <w:jc w:val="left"/>
              <w:rPr>
                <w:b/>
                <w:sz w:val="24"/>
                <w:szCs w:val="24"/>
              </w:rPr>
            </w:pPr>
            <w:r w:rsidRPr="00875208">
              <w:rPr>
                <w:b/>
                <w:sz w:val="24"/>
                <w:szCs w:val="24"/>
              </w:rPr>
              <w:t xml:space="preserve">Deadline for submission of Concept Notes </w:t>
            </w:r>
          </w:p>
        </w:tc>
        <w:tc>
          <w:tcPr>
            <w:tcW w:w="2552" w:type="dxa"/>
          </w:tcPr>
          <w:p w:rsidR="0013435B" w:rsidRPr="00875208" w:rsidRDefault="00961B29" w:rsidP="00F15864">
            <w:pPr>
              <w:spacing w:before="120"/>
              <w:jc w:val="center"/>
              <w:rPr>
                <w:sz w:val="24"/>
                <w:szCs w:val="24"/>
              </w:rPr>
            </w:pPr>
            <w:r>
              <w:rPr>
                <w:sz w:val="24"/>
                <w:szCs w:val="24"/>
              </w:rPr>
              <w:t>28</w:t>
            </w:r>
            <w:r w:rsidR="004E7C95">
              <w:rPr>
                <w:sz w:val="24"/>
                <w:szCs w:val="24"/>
              </w:rPr>
              <w:t>/04/2015</w:t>
            </w:r>
          </w:p>
        </w:tc>
        <w:tc>
          <w:tcPr>
            <w:tcW w:w="2551" w:type="dxa"/>
          </w:tcPr>
          <w:p w:rsidR="0013435B" w:rsidRPr="00875208" w:rsidRDefault="004F4444" w:rsidP="00F15864">
            <w:pPr>
              <w:spacing w:before="120"/>
              <w:jc w:val="center"/>
              <w:rPr>
                <w:sz w:val="24"/>
                <w:szCs w:val="24"/>
              </w:rPr>
            </w:pPr>
            <w:r>
              <w:rPr>
                <w:sz w:val="24"/>
                <w:szCs w:val="24"/>
              </w:rPr>
              <w:t>15:00</w:t>
            </w:r>
          </w:p>
        </w:tc>
      </w:tr>
      <w:tr w:rsidR="00622381" w:rsidRPr="00875208" w:rsidTr="00984331">
        <w:tc>
          <w:tcPr>
            <w:tcW w:w="4678" w:type="dxa"/>
            <w:shd w:val="pct10" w:color="auto" w:fill="FFFFFF"/>
          </w:tcPr>
          <w:p w:rsidR="00622381" w:rsidRPr="00875208" w:rsidRDefault="00622381" w:rsidP="00984331">
            <w:pPr>
              <w:spacing w:before="120"/>
              <w:jc w:val="left"/>
              <w:rPr>
                <w:b/>
                <w:sz w:val="24"/>
                <w:szCs w:val="24"/>
              </w:rPr>
            </w:pPr>
            <w:r w:rsidRPr="00875208">
              <w:rPr>
                <w:b/>
                <w:sz w:val="24"/>
                <w:szCs w:val="24"/>
              </w:rPr>
              <w:t xml:space="preserve">Information to applicants on </w:t>
            </w:r>
            <w:r w:rsidR="003743F9" w:rsidRPr="00875208">
              <w:rPr>
                <w:b/>
                <w:sz w:val="24"/>
                <w:szCs w:val="24"/>
              </w:rPr>
              <w:t>opening</w:t>
            </w:r>
            <w:r w:rsidR="009B7BB7" w:rsidRPr="00875208">
              <w:rPr>
                <w:b/>
                <w:sz w:val="24"/>
                <w:szCs w:val="24"/>
              </w:rPr>
              <w:t xml:space="preserve">, </w:t>
            </w:r>
            <w:r w:rsidR="003743F9" w:rsidRPr="00875208">
              <w:rPr>
                <w:b/>
                <w:sz w:val="24"/>
                <w:szCs w:val="24"/>
              </w:rPr>
              <w:t>administrative check</w:t>
            </w:r>
            <w:r w:rsidR="00584247" w:rsidRPr="00875208">
              <w:rPr>
                <w:b/>
                <w:sz w:val="24"/>
                <w:szCs w:val="24"/>
              </w:rPr>
              <w:t>s</w:t>
            </w:r>
            <w:r w:rsidR="003743F9" w:rsidRPr="00875208">
              <w:rPr>
                <w:b/>
                <w:sz w:val="24"/>
                <w:szCs w:val="24"/>
              </w:rPr>
              <w:t xml:space="preserve"> and </w:t>
            </w:r>
            <w:r w:rsidR="005A61AA" w:rsidRPr="00875208">
              <w:rPr>
                <w:b/>
                <w:sz w:val="24"/>
                <w:szCs w:val="24"/>
              </w:rPr>
              <w:t xml:space="preserve">concept note </w:t>
            </w:r>
            <w:r w:rsidRPr="00875208">
              <w:rPr>
                <w:b/>
                <w:sz w:val="24"/>
                <w:szCs w:val="24"/>
              </w:rPr>
              <w:t xml:space="preserve">evaluation </w:t>
            </w:r>
            <w:r w:rsidR="00E708CB" w:rsidRPr="00875208">
              <w:rPr>
                <w:b/>
                <w:sz w:val="24"/>
                <w:szCs w:val="24"/>
              </w:rPr>
              <w:t xml:space="preserve"> (</w:t>
            </w:r>
            <w:r w:rsidR="009B7BB7" w:rsidRPr="00875208">
              <w:rPr>
                <w:b/>
                <w:sz w:val="24"/>
                <w:szCs w:val="24"/>
              </w:rPr>
              <w:t>S</w:t>
            </w:r>
            <w:r w:rsidR="00E708CB" w:rsidRPr="00875208">
              <w:rPr>
                <w:b/>
                <w:sz w:val="24"/>
                <w:szCs w:val="24"/>
              </w:rPr>
              <w:t xml:space="preserve">tep </w:t>
            </w:r>
            <w:r w:rsidR="003743F9" w:rsidRPr="00875208">
              <w:rPr>
                <w:b/>
                <w:sz w:val="24"/>
                <w:szCs w:val="24"/>
              </w:rPr>
              <w:t>1</w:t>
            </w:r>
            <w:r w:rsidR="00E708CB" w:rsidRPr="00875208">
              <w:rPr>
                <w:b/>
                <w:sz w:val="24"/>
                <w:szCs w:val="24"/>
              </w:rPr>
              <w:t>)</w:t>
            </w:r>
          </w:p>
        </w:tc>
        <w:tc>
          <w:tcPr>
            <w:tcW w:w="2552" w:type="dxa"/>
          </w:tcPr>
          <w:p w:rsidR="00622381" w:rsidRPr="007B4294" w:rsidRDefault="004F4444" w:rsidP="00F15864">
            <w:pPr>
              <w:spacing w:before="120"/>
              <w:jc w:val="center"/>
              <w:rPr>
                <w:sz w:val="24"/>
                <w:szCs w:val="24"/>
              </w:rPr>
            </w:pPr>
            <w:r w:rsidRPr="007B4294">
              <w:rPr>
                <w:sz w:val="24"/>
                <w:szCs w:val="24"/>
              </w:rPr>
              <w:t>August 2015</w:t>
            </w:r>
            <w:r w:rsidR="00622381" w:rsidRPr="007B4294">
              <w:rPr>
                <w:sz w:val="24"/>
                <w:szCs w:val="24"/>
              </w:rPr>
              <w:t>*</w:t>
            </w:r>
          </w:p>
        </w:tc>
        <w:tc>
          <w:tcPr>
            <w:tcW w:w="2551" w:type="dxa"/>
          </w:tcPr>
          <w:p w:rsidR="00622381" w:rsidRPr="00875208" w:rsidRDefault="00622381" w:rsidP="00F15864">
            <w:pPr>
              <w:spacing w:before="120"/>
              <w:jc w:val="center"/>
              <w:rPr>
                <w:sz w:val="24"/>
                <w:szCs w:val="24"/>
              </w:rPr>
            </w:pPr>
            <w:r w:rsidRPr="00875208">
              <w:rPr>
                <w:sz w:val="24"/>
                <w:szCs w:val="24"/>
              </w:rPr>
              <w:t>-</w:t>
            </w:r>
          </w:p>
        </w:tc>
      </w:tr>
      <w:tr w:rsidR="0013435B" w:rsidRPr="00875208" w:rsidTr="00984331">
        <w:tc>
          <w:tcPr>
            <w:tcW w:w="4678" w:type="dxa"/>
            <w:shd w:val="pct10" w:color="auto" w:fill="FFFFFF"/>
          </w:tcPr>
          <w:p w:rsidR="0013435B" w:rsidRPr="00875208" w:rsidRDefault="00622381" w:rsidP="00984331">
            <w:pPr>
              <w:spacing w:before="120"/>
              <w:jc w:val="left"/>
              <w:rPr>
                <w:b/>
                <w:sz w:val="24"/>
                <w:szCs w:val="24"/>
              </w:rPr>
            </w:pPr>
            <w:r w:rsidRPr="00875208">
              <w:rPr>
                <w:b/>
                <w:sz w:val="24"/>
                <w:szCs w:val="24"/>
              </w:rPr>
              <w:t>Invitations</w:t>
            </w:r>
            <w:r w:rsidR="00DE7335">
              <w:rPr>
                <w:b/>
                <w:sz w:val="24"/>
                <w:szCs w:val="24"/>
              </w:rPr>
              <w:t xml:space="preserve"> </w:t>
            </w:r>
            <w:r w:rsidR="009B7BB7" w:rsidRPr="00875208">
              <w:rPr>
                <w:b/>
                <w:sz w:val="24"/>
                <w:szCs w:val="24"/>
              </w:rPr>
              <w:t xml:space="preserve">to </w:t>
            </w:r>
            <w:r w:rsidR="0013435B" w:rsidRPr="00875208">
              <w:rPr>
                <w:b/>
                <w:sz w:val="24"/>
                <w:szCs w:val="24"/>
              </w:rPr>
              <w:t>submi</w:t>
            </w:r>
            <w:r w:rsidR="009B7BB7" w:rsidRPr="00875208">
              <w:rPr>
                <w:b/>
                <w:sz w:val="24"/>
                <w:szCs w:val="24"/>
              </w:rPr>
              <w:t>t</w:t>
            </w:r>
            <w:r w:rsidR="0013435B" w:rsidRPr="00875208">
              <w:rPr>
                <w:b/>
                <w:sz w:val="24"/>
                <w:szCs w:val="24"/>
              </w:rPr>
              <w:t xml:space="preserve"> Full </w:t>
            </w:r>
            <w:r w:rsidR="004E245A">
              <w:rPr>
                <w:b/>
                <w:sz w:val="24"/>
                <w:szCs w:val="24"/>
              </w:rPr>
              <w:t>Application Form</w:t>
            </w:r>
          </w:p>
        </w:tc>
        <w:tc>
          <w:tcPr>
            <w:tcW w:w="2552" w:type="dxa"/>
          </w:tcPr>
          <w:p w:rsidR="0013435B" w:rsidRPr="007B4294" w:rsidRDefault="004F4444" w:rsidP="00F15864">
            <w:pPr>
              <w:spacing w:before="120"/>
              <w:jc w:val="center"/>
              <w:rPr>
                <w:sz w:val="24"/>
                <w:szCs w:val="24"/>
              </w:rPr>
            </w:pPr>
            <w:r w:rsidRPr="007B4294">
              <w:rPr>
                <w:sz w:val="24"/>
                <w:szCs w:val="24"/>
              </w:rPr>
              <w:t>August 2015</w:t>
            </w:r>
            <w:r w:rsidR="0013435B" w:rsidRPr="007B4294">
              <w:rPr>
                <w:sz w:val="24"/>
                <w:szCs w:val="24"/>
              </w:rPr>
              <w:t>*</w:t>
            </w:r>
          </w:p>
        </w:tc>
        <w:tc>
          <w:tcPr>
            <w:tcW w:w="2551" w:type="dxa"/>
          </w:tcPr>
          <w:p w:rsidR="0013435B" w:rsidRPr="00875208" w:rsidRDefault="0013435B" w:rsidP="00F15864">
            <w:pPr>
              <w:spacing w:before="120"/>
              <w:jc w:val="center"/>
              <w:rPr>
                <w:sz w:val="24"/>
                <w:szCs w:val="24"/>
              </w:rPr>
            </w:pPr>
            <w:r w:rsidRPr="00875208">
              <w:rPr>
                <w:sz w:val="24"/>
                <w:szCs w:val="24"/>
              </w:rPr>
              <w:t>-</w:t>
            </w:r>
          </w:p>
        </w:tc>
      </w:tr>
      <w:tr w:rsidR="00622381" w:rsidRPr="00875208" w:rsidTr="00984331">
        <w:tc>
          <w:tcPr>
            <w:tcW w:w="4678" w:type="dxa"/>
            <w:shd w:val="pct10" w:color="auto" w:fill="FFFFFF"/>
          </w:tcPr>
          <w:p w:rsidR="00622381" w:rsidRPr="00875208" w:rsidRDefault="00622381" w:rsidP="00984331">
            <w:pPr>
              <w:spacing w:before="120"/>
              <w:jc w:val="left"/>
              <w:rPr>
                <w:b/>
                <w:sz w:val="24"/>
                <w:szCs w:val="24"/>
              </w:rPr>
            </w:pPr>
            <w:r w:rsidRPr="00875208">
              <w:rPr>
                <w:b/>
                <w:sz w:val="24"/>
                <w:szCs w:val="24"/>
              </w:rPr>
              <w:t>Deadline for subm</w:t>
            </w:r>
            <w:r w:rsidR="004E245A">
              <w:rPr>
                <w:b/>
                <w:sz w:val="24"/>
                <w:szCs w:val="24"/>
              </w:rPr>
              <w:t>ission of Full Application Form</w:t>
            </w:r>
          </w:p>
        </w:tc>
        <w:tc>
          <w:tcPr>
            <w:tcW w:w="2552" w:type="dxa"/>
          </w:tcPr>
          <w:p w:rsidR="00622381" w:rsidRPr="007B4294" w:rsidRDefault="00166172" w:rsidP="00F15864">
            <w:pPr>
              <w:spacing w:before="120"/>
              <w:jc w:val="center"/>
              <w:rPr>
                <w:sz w:val="24"/>
                <w:szCs w:val="24"/>
              </w:rPr>
            </w:pPr>
            <w:r w:rsidRPr="007B4294">
              <w:rPr>
                <w:sz w:val="24"/>
                <w:szCs w:val="24"/>
              </w:rPr>
              <w:t>October</w:t>
            </w:r>
            <w:r w:rsidR="004F4444" w:rsidRPr="007B4294">
              <w:rPr>
                <w:sz w:val="24"/>
                <w:szCs w:val="24"/>
              </w:rPr>
              <w:t xml:space="preserve"> 2015</w:t>
            </w:r>
            <w:r w:rsidR="00622381" w:rsidRPr="007B4294">
              <w:rPr>
                <w:sz w:val="24"/>
                <w:szCs w:val="24"/>
              </w:rPr>
              <w:t>*</w:t>
            </w:r>
          </w:p>
        </w:tc>
        <w:tc>
          <w:tcPr>
            <w:tcW w:w="2551" w:type="dxa"/>
          </w:tcPr>
          <w:p w:rsidR="00622381" w:rsidRPr="00875208" w:rsidRDefault="00622381" w:rsidP="00F15864">
            <w:pPr>
              <w:spacing w:before="120"/>
              <w:jc w:val="center"/>
              <w:rPr>
                <w:sz w:val="24"/>
                <w:szCs w:val="24"/>
              </w:rPr>
            </w:pPr>
            <w:r w:rsidRPr="00875208">
              <w:rPr>
                <w:sz w:val="24"/>
                <w:szCs w:val="24"/>
              </w:rPr>
              <w:t>-</w:t>
            </w:r>
          </w:p>
        </w:tc>
      </w:tr>
      <w:tr w:rsidR="00622381" w:rsidRPr="00875208" w:rsidTr="00984331">
        <w:tc>
          <w:tcPr>
            <w:tcW w:w="4678" w:type="dxa"/>
            <w:shd w:val="pct10" w:color="auto" w:fill="FFFFFF"/>
          </w:tcPr>
          <w:p w:rsidR="00622381" w:rsidRPr="00875208" w:rsidRDefault="00622381" w:rsidP="00213985">
            <w:pPr>
              <w:spacing w:before="120"/>
              <w:jc w:val="left"/>
              <w:rPr>
                <w:b/>
                <w:sz w:val="24"/>
                <w:szCs w:val="24"/>
              </w:rPr>
            </w:pPr>
            <w:r w:rsidRPr="00875208">
              <w:rPr>
                <w:b/>
                <w:sz w:val="24"/>
                <w:szCs w:val="24"/>
              </w:rPr>
              <w:t xml:space="preserve">Information to applicants on the evaluation of the </w:t>
            </w:r>
            <w:r w:rsidR="00537CD5" w:rsidRPr="00875208">
              <w:rPr>
                <w:b/>
                <w:sz w:val="24"/>
                <w:szCs w:val="24"/>
              </w:rPr>
              <w:t xml:space="preserve">Full </w:t>
            </w:r>
            <w:r w:rsidRPr="00875208">
              <w:rPr>
                <w:b/>
                <w:sz w:val="24"/>
                <w:szCs w:val="24"/>
              </w:rPr>
              <w:t>Application Form</w:t>
            </w:r>
            <w:r w:rsidR="00E708CB" w:rsidRPr="00875208">
              <w:rPr>
                <w:b/>
                <w:sz w:val="24"/>
                <w:szCs w:val="24"/>
              </w:rPr>
              <w:t xml:space="preserve"> (</w:t>
            </w:r>
            <w:r w:rsidR="009B7BB7" w:rsidRPr="00875208">
              <w:rPr>
                <w:b/>
                <w:sz w:val="24"/>
                <w:szCs w:val="24"/>
              </w:rPr>
              <w:t>S</w:t>
            </w:r>
            <w:r w:rsidR="00E708CB" w:rsidRPr="00875208">
              <w:rPr>
                <w:b/>
                <w:sz w:val="24"/>
                <w:szCs w:val="24"/>
              </w:rPr>
              <w:t xml:space="preserve">tep </w:t>
            </w:r>
            <w:r w:rsidR="003743F9" w:rsidRPr="00875208">
              <w:rPr>
                <w:b/>
                <w:sz w:val="24"/>
                <w:szCs w:val="24"/>
              </w:rPr>
              <w:t>2</w:t>
            </w:r>
            <w:r w:rsidR="00E708CB" w:rsidRPr="00875208">
              <w:rPr>
                <w:b/>
                <w:sz w:val="24"/>
                <w:szCs w:val="24"/>
              </w:rPr>
              <w:t>)</w:t>
            </w:r>
          </w:p>
        </w:tc>
        <w:tc>
          <w:tcPr>
            <w:tcW w:w="2552" w:type="dxa"/>
          </w:tcPr>
          <w:p w:rsidR="00622381" w:rsidRPr="007B4294" w:rsidRDefault="004F4444" w:rsidP="00F15864">
            <w:pPr>
              <w:spacing w:before="120"/>
              <w:jc w:val="center"/>
              <w:rPr>
                <w:sz w:val="24"/>
                <w:szCs w:val="24"/>
              </w:rPr>
            </w:pPr>
            <w:r w:rsidRPr="007B4294">
              <w:rPr>
                <w:sz w:val="24"/>
                <w:szCs w:val="24"/>
              </w:rPr>
              <w:t>February 2016</w:t>
            </w:r>
            <w:r w:rsidR="00622381" w:rsidRPr="007B4294">
              <w:rPr>
                <w:sz w:val="24"/>
                <w:szCs w:val="24"/>
              </w:rPr>
              <w:t>*</w:t>
            </w:r>
          </w:p>
        </w:tc>
        <w:tc>
          <w:tcPr>
            <w:tcW w:w="2551" w:type="dxa"/>
          </w:tcPr>
          <w:p w:rsidR="00622381" w:rsidRPr="00875208" w:rsidRDefault="00622381" w:rsidP="00F15864">
            <w:pPr>
              <w:spacing w:before="120"/>
              <w:jc w:val="center"/>
              <w:rPr>
                <w:sz w:val="24"/>
                <w:szCs w:val="24"/>
              </w:rPr>
            </w:pPr>
            <w:r w:rsidRPr="00875208">
              <w:rPr>
                <w:sz w:val="24"/>
                <w:szCs w:val="24"/>
              </w:rPr>
              <w:t>-</w:t>
            </w:r>
          </w:p>
        </w:tc>
      </w:tr>
      <w:tr w:rsidR="00415248" w:rsidRPr="00875208" w:rsidTr="00984331">
        <w:tc>
          <w:tcPr>
            <w:tcW w:w="4678" w:type="dxa"/>
            <w:shd w:val="pct10" w:color="auto" w:fill="FFFFFF"/>
          </w:tcPr>
          <w:p w:rsidR="00415248" w:rsidRPr="00875208" w:rsidRDefault="00415248" w:rsidP="00984331">
            <w:pPr>
              <w:spacing w:before="120"/>
              <w:jc w:val="left"/>
              <w:rPr>
                <w:b/>
                <w:sz w:val="24"/>
                <w:szCs w:val="24"/>
              </w:rPr>
            </w:pPr>
            <w:r w:rsidRPr="00875208">
              <w:rPr>
                <w:b/>
                <w:sz w:val="24"/>
                <w:szCs w:val="24"/>
              </w:rPr>
              <w:t>Notification of award (after the eligibility check)</w:t>
            </w:r>
            <w:r w:rsidR="00E708CB" w:rsidRPr="00875208">
              <w:rPr>
                <w:b/>
                <w:sz w:val="24"/>
                <w:szCs w:val="24"/>
              </w:rPr>
              <w:t xml:space="preserve"> (</w:t>
            </w:r>
            <w:r w:rsidR="009B7BB7" w:rsidRPr="00875208">
              <w:rPr>
                <w:b/>
                <w:sz w:val="24"/>
                <w:szCs w:val="24"/>
              </w:rPr>
              <w:t>S</w:t>
            </w:r>
            <w:r w:rsidR="00E708CB" w:rsidRPr="00875208">
              <w:rPr>
                <w:b/>
                <w:sz w:val="24"/>
                <w:szCs w:val="24"/>
              </w:rPr>
              <w:t xml:space="preserve">tep </w:t>
            </w:r>
            <w:r w:rsidR="003743F9" w:rsidRPr="00875208">
              <w:rPr>
                <w:b/>
                <w:sz w:val="24"/>
                <w:szCs w:val="24"/>
              </w:rPr>
              <w:t>3</w:t>
            </w:r>
            <w:r w:rsidR="00E708CB" w:rsidRPr="00875208">
              <w:rPr>
                <w:b/>
                <w:sz w:val="24"/>
                <w:szCs w:val="24"/>
              </w:rPr>
              <w:t>)</w:t>
            </w:r>
          </w:p>
        </w:tc>
        <w:tc>
          <w:tcPr>
            <w:tcW w:w="2552" w:type="dxa"/>
          </w:tcPr>
          <w:p w:rsidR="00415248" w:rsidRPr="007B4294" w:rsidRDefault="004F4444" w:rsidP="00F15864">
            <w:pPr>
              <w:spacing w:before="120"/>
              <w:jc w:val="center"/>
              <w:rPr>
                <w:sz w:val="24"/>
                <w:szCs w:val="24"/>
              </w:rPr>
            </w:pPr>
            <w:r w:rsidRPr="007B4294">
              <w:rPr>
                <w:sz w:val="24"/>
                <w:szCs w:val="24"/>
              </w:rPr>
              <w:t>April 2016</w:t>
            </w:r>
            <w:r w:rsidR="00415248" w:rsidRPr="007B4294">
              <w:rPr>
                <w:sz w:val="24"/>
                <w:szCs w:val="24"/>
              </w:rPr>
              <w:t>*</w:t>
            </w:r>
          </w:p>
        </w:tc>
        <w:tc>
          <w:tcPr>
            <w:tcW w:w="2551" w:type="dxa"/>
          </w:tcPr>
          <w:p w:rsidR="00415248" w:rsidRPr="00875208" w:rsidRDefault="00415248" w:rsidP="00F15864">
            <w:pPr>
              <w:spacing w:before="120"/>
              <w:jc w:val="center"/>
              <w:rPr>
                <w:sz w:val="24"/>
                <w:szCs w:val="24"/>
              </w:rPr>
            </w:pPr>
            <w:r w:rsidRPr="00875208">
              <w:rPr>
                <w:sz w:val="24"/>
                <w:szCs w:val="24"/>
              </w:rPr>
              <w:t>-</w:t>
            </w:r>
          </w:p>
        </w:tc>
      </w:tr>
      <w:tr w:rsidR="00415248" w:rsidRPr="00875208" w:rsidTr="00984331">
        <w:tc>
          <w:tcPr>
            <w:tcW w:w="4678" w:type="dxa"/>
            <w:shd w:val="pct10" w:color="auto" w:fill="FFFFFF"/>
          </w:tcPr>
          <w:p w:rsidR="00415248" w:rsidRPr="00875208" w:rsidRDefault="00415248" w:rsidP="00213985">
            <w:pPr>
              <w:spacing w:before="120"/>
              <w:jc w:val="left"/>
              <w:rPr>
                <w:b/>
                <w:sz w:val="24"/>
                <w:szCs w:val="24"/>
              </w:rPr>
            </w:pPr>
            <w:r w:rsidRPr="00875208">
              <w:rPr>
                <w:b/>
                <w:sz w:val="24"/>
                <w:szCs w:val="24"/>
              </w:rPr>
              <w:t>Contract signature</w:t>
            </w:r>
          </w:p>
        </w:tc>
        <w:tc>
          <w:tcPr>
            <w:tcW w:w="2552" w:type="dxa"/>
          </w:tcPr>
          <w:p w:rsidR="00415248" w:rsidRPr="007B4294" w:rsidRDefault="004F4444" w:rsidP="00F15864">
            <w:pPr>
              <w:spacing w:before="120"/>
              <w:jc w:val="center"/>
              <w:rPr>
                <w:sz w:val="24"/>
                <w:szCs w:val="24"/>
              </w:rPr>
            </w:pPr>
            <w:r w:rsidRPr="007B4294">
              <w:rPr>
                <w:sz w:val="24"/>
                <w:szCs w:val="24"/>
              </w:rPr>
              <w:t>June 2016</w:t>
            </w:r>
            <w:r w:rsidR="00415248" w:rsidRPr="007B4294">
              <w:rPr>
                <w:sz w:val="24"/>
                <w:szCs w:val="24"/>
              </w:rPr>
              <w:t>*</w:t>
            </w:r>
          </w:p>
        </w:tc>
        <w:tc>
          <w:tcPr>
            <w:tcW w:w="2551" w:type="dxa"/>
          </w:tcPr>
          <w:p w:rsidR="00415248" w:rsidRPr="00875208" w:rsidRDefault="00415248" w:rsidP="00F15864">
            <w:pPr>
              <w:spacing w:before="120"/>
              <w:jc w:val="center"/>
              <w:rPr>
                <w:sz w:val="24"/>
                <w:szCs w:val="24"/>
              </w:rPr>
            </w:pPr>
            <w:r w:rsidRPr="00875208">
              <w:rPr>
                <w:sz w:val="24"/>
                <w:szCs w:val="24"/>
              </w:rPr>
              <w:t>-</w:t>
            </w:r>
          </w:p>
        </w:tc>
      </w:tr>
    </w:tbl>
    <w:p w:rsidR="00E939EC" w:rsidRPr="00875208" w:rsidRDefault="0013435B" w:rsidP="00984331">
      <w:pPr>
        <w:rPr>
          <w:sz w:val="24"/>
          <w:szCs w:val="24"/>
        </w:rPr>
      </w:pPr>
      <w:r w:rsidRPr="00875208">
        <w:rPr>
          <w:sz w:val="24"/>
          <w:szCs w:val="24"/>
          <w:vertAlign w:val="superscript"/>
        </w:rPr>
        <w:t>*</w:t>
      </w:r>
      <w:r w:rsidRPr="00875208">
        <w:rPr>
          <w:b/>
          <w:sz w:val="24"/>
          <w:szCs w:val="24"/>
        </w:rPr>
        <w:t>Provisional date</w:t>
      </w:r>
      <w:r w:rsidR="00415248" w:rsidRPr="00875208">
        <w:rPr>
          <w:b/>
          <w:sz w:val="24"/>
          <w:szCs w:val="24"/>
        </w:rPr>
        <w:t xml:space="preserve">. </w:t>
      </w:r>
      <w:r w:rsidR="00415248" w:rsidRPr="00875208">
        <w:rPr>
          <w:sz w:val="24"/>
          <w:szCs w:val="24"/>
        </w:rPr>
        <w:t>All times are in the time zone of the country of the Contracting Authority</w:t>
      </w:r>
      <w:r w:rsidR="009B7BB7" w:rsidRPr="00875208">
        <w:rPr>
          <w:sz w:val="24"/>
          <w:szCs w:val="24"/>
        </w:rPr>
        <w:t>.</w:t>
      </w:r>
    </w:p>
    <w:p w:rsidR="0013435B" w:rsidRPr="00875208" w:rsidRDefault="00D23749" w:rsidP="00984331">
      <w:pPr>
        <w:rPr>
          <w:sz w:val="24"/>
          <w:szCs w:val="24"/>
        </w:rPr>
      </w:pPr>
      <w:r w:rsidRPr="00875208">
        <w:rPr>
          <w:sz w:val="24"/>
          <w:szCs w:val="24"/>
        </w:rPr>
        <w:t xml:space="preserve">This indicative timetable may be </w:t>
      </w:r>
      <w:r w:rsidR="00E120C3" w:rsidRPr="00875208">
        <w:rPr>
          <w:sz w:val="24"/>
          <w:szCs w:val="24"/>
        </w:rPr>
        <w:t>updated</w:t>
      </w:r>
      <w:r w:rsidRPr="00875208">
        <w:rPr>
          <w:sz w:val="24"/>
          <w:szCs w:val="24"/>
        </w:rPr>
        <w:t xml:space="preserve"> by the Contracting Authority </w:t>
      </w:r>
      <w:r w:rsidR="00E120C3" w:rsidRPr="00875208">
        <w:rPr>
          <w:sz w:val="24"/>
          <w:szCs w:val="24"/>
        </w:rPr>
        <w:t>during the procedure. In such case</w:t>
      </w:r>
      <w:r w:rsidR="009B7BB7" w:rsidRPr="00875208">
        <w:rPr>
          <w:sz w:val="24"/>
          <w:szCs w:val="24"/>
        </w:rPr>
        <w:t>s</w:t>
      </w:r>
      <w:r w:rsidR="00E120C3" w:rsidRPr="00875208">
        <w:rPr>
          <w:sz w:val="24"/>
          <w:szCs w:val="24"/>
        </w:rPr>
        <w:t>, t</w:t>
      </w:r>
      <w:r w:rsidRPr="00875208">
        <w:rPr>
          <w:sz w:val="24"/>
          <w:szCs w:val="24"/>
        </w:rPr>
        <w:t xml:space="preserve">he updated timetable </w:t>
      </w:r>
      <w:r w:rsidR="009B7BB7" w:rsidRPr="00875208">
        <w:rPr>
          <w:sz w:val="24"/>
          <w:szCs w:val="24"/>
        </w:rPr>
        <w:t xml:space="preserve">will </w:t>
      </w:r>
      <w:r w:rsidRPr="00875208">
        <w:rPr>
          <w:sz w:val="24"/>
          <w:szCs w:val="24"/>
        </w:rPr>
        <w:t xml:space="preserve">be published </w:t>
      </w:r>
      <w:r w:rsidR="0046081F" w:rsidRPr="00875208">
        <w:rPr>
          <w:sz w:val="24"/>
          <w:szCs w:val="24"/>
        </w:rPr>
        <w:t xml:space="preserve">on </w:t>
      </w:r>
      <w:r w:rsidRPr="00875208">
        <w:rPr>
          <w:sz w:val="24"/>
          <w:szCs w:val="24"/>
        </w:rPr>
        <w:t>the EuropeAid web site</w:t>
      </w:r>
      <w:r w:rsidR="00D320EE">
        <w:rPr>
          <w:sz w:val="24"/>
          <w:szCs w:val="24"/>
        </w:rPr>
        <w:t xml:space="preserve"> </w:t>
      </w:r>
      <w:hyperlink r:id="rId21" w:history="1">
        <w:r w:rsidR="00D0109C" w:rsidRPr="00875208">
          <w:rPr>
            <w:rStyle w:val="Hyperlink"/>
            <w:color w:val="auto"/>
            <w:sz w:val="24"/>
            <w:szCs w:val="24"/>
          </w:rPr>
          <w:t>https://webgate.ec.europa.eu/europeaid/online-services/index.cfm?do=publi.welcome</w:t>
        </w:r>
      </w:hyperlink>
      <w:r w:rsidR="00ED7E20" w:rsidRPr="00ED7E20">
        <w:rPr>
          <w:rStyle w:val="Hyperlink"/>
          <w:color w:val="auto"/>
          <w:sz w:val="24"/>
          <w:szCs w:val="24"/>
          <w:u w:val="none"/>
        </w:rPr>
        <w:t xml:space="preserve"> </w:t>
      </w:r>
      <w:r w:rsidR="003E2AD6" w:rsidRPr="00875208">
        <w:rPr>
          <w:sz w:val="24"/>
          <w:szCs w:val="24"/>
        </w:rPr>
        <w:t xml:space="preserve">and on the website of the Contracting </w:t>
      </w:r>
      <w:r w:rsidR="004071FE" w:rsidRPr="00875208">
        <w:rPr>
          <w:sz w:val="24"/>
          <w:szCs w:val="24"/>
        </w:rPr>
        <w:t>Authority</w:t>
      </w:r>
      <w:r w:rsidR="003E2AD6" w:rsidRPr="00875208">
        <w:rPr>
          <w:sz w:val="24"/>
          <w:szCs w:val="24"/>
        </w:rPr>
        <w:t xml:space="preserve"> in the Republic of Serbia: www.cfcu.gov.rs.</w:t>
      </w:r>
    </w:p>
    <w:p w:rsidR="0007408E" w:rsidRPr="00875208" w:rsidRDefault="0007408E" w:rsidP="004741A1">
      <w:pPr>
        <w:pStyle w:val="Guidelines2"/>
        <w:rPr>
          <w:rFonts w:ascii="Times New Roman" w:hAnsi="Times New Roman"/>
          <w:szCs w:val="24"/>
        </w:rPr>
      </w:pPr>
      <w:bookmarkStart w:id="46" w:name="_Toc40507655"/>
      <w:bookmarkStart w:id="47" w:name="_Toc384374723"/>
      <w:r w:rsidRPr="00875208">
        <w:rPr>
          <w:rFonts w:ascii="Times New Roman" w:hAnsi="Times New Roman"/>
          <w:szCs w:val="24"/>
        </w:rPr>
        <w:lastRenderedPageBreak/>
        <w:t xml:space="preserve">Conditions </w:t>
      </w:r>
      <w:r w:rsidR="009B7BB7" w:rsidRPr="00875208">
        <w:rPr>
          <w:rFonts w:ascii="Times New Roman" w:hAnsi="Times New Roman"/>
          <w:szCs w:val="24"/>
        </w:rPr>
        <w:t>for</w:t>
      </w:r>
      <w:r w:rsidRPr="00875208">
        <w:rPr>
          <w:rFonts w:ascii="Times New Roman" w:hAnsi="Times New Roman"/>
          <w:szCs w:val="24"/>
        </w:rPr>
        <w:t xml:space="preserve"> implementation </w:t>
      </w:r>
      <w:r w:rsidR="009B7BB7" w:rsidRPr="00875208">
        <w:rPr>
          <w:rFonts w:ascii="Times New Roman" w:hAnsi="Times New Roman"/>
          <w:szCs w:val="24"/>
        </w:rPr>
        <w:t>after</w:t>
      </w:r>
      <w:r w:rsidRPr="00875208">
        <w:rPr>
          <w:rFonts w:ascii="Times New Roman" w:hAnsi="Times New Roman"/>
          <w:szCs w:val="24"/>
        </w:rPr>
        <w:t xml:space="preserve"> the </w:t>
      </w:r>
      <w:r w:rsidR="00265A33" w:rsidRPr="00875208">
        <w:rPr>
          <w:rFonts w:ascii="Times New Roman" w:hAnsi="Times New Roman"/>
          <w:szCs w:val="24"/>
        </w:rPr>
        <w:t>C</w:t>
      </w:r>
      <w:r w:rsidRPr="00875208">
        <w:rPr>
          <w:rFonts w:ascii="Times New Roman" w:hAnsi="Times New Roman"/>
          <w:szCs w:val="24"/>
        </w:rPr>
        <w:t xml:space="preserve">ontracting </w:t>
      </w:r>
      <w:r w:rsidR="00265A33" w:rsidRPr="00875208">
        <w:rPr>
          <w:rFonts w:ascii="Times New Roman" w:hAnsi="Times New Roman"/>
          <w:szCs w:val="24"/>
        </w:rPr>
        <w:t>A</w:t>
      </w:r>
      <w:r w:rsidRPr="00875208">
        <w:rPr>
          <w:rFonts w:ascii="Times New Roman" w:hAnsi="Times New Roman"/>
          <w:szCs w:val="24"/>
        </w:rPr>
        <w:t>uthority</w:t>
      </w:r>
      <w:r w:rsidR="00A016F9" w:rsidRPr="00875208">
        <w:rPr>
          <w:rFonts w:ascii="Times New Roman" w:hAnsi="Times New Roman"/>
          <w:szCs w:val="24"/>
        </w:rPr>
        <w:t>’</w:t>
      </w:r>
      <w:r w:rsidRPr="00875208">
        <w:rPr>
          <w:rFonts w:ascii="Times New Roman" w:hAnsi="Times New Roman"/>
          <w:szCs w:val="24"/>
        </w:rPr>
        <w:t>s decision to award a grant</w:t>
      </w:r>
      <w:bookmarkEnd w:id="46"/>
      <w:bookmarkEnd w:id="47"/>
    </w:p>
    <w:p w:rsidR="00511FEE" w:rsidRPr="00875208" w:rsidRDefault="00511FEE" w:rsidP="002D4ACD">
      <w:pPr>
        <w:spacing w:after="120"/>
        <w:rPr>
          <w:sz w:val="24"/>
          <w:szCs w:val="24"/>
        </w:rPr>
      </w:pPr>
      <w:r w:rsidRPr="00875208">
        <w:rPr>
          <w:sz w:val="24"/>
          <w:szCs w:val="24"/>
        </w:rPr>
        <w:t>Following the decision to award a grant, the Beneficiary</w:t>
      </w:r>
      <w:r w:rsidR="00FA2479" w:rsidRPr="00875208">
        <w:rPr>
          <w:sz w:val="24"/>
          <w:szCs w:val="24"/>
        </w:rPr>
        <w:t>(ies)</w:t>
      </w:r>
      <w:r w:rsidRPr="00875208">
        <w:rPr>
          <w:sz w:val="24"/>
          <w:szCs w:val="24"/>
        </w:rPr>
        <w:t xml:space="preserve"> will be offered a contract based on the Contracting Authority</w:t>
      </w:r>
      <w:r w:rsidR="00A016F9" w:rsidRPr="00875208">
        <w:rPr>
          <w:sz w:val="24"/>
          <w:szCs w:val="24"/>
        </w:rPr>
        <w:t>’</w:t>
      </w:r>
      <w:r w:rsidRPr="00875208">
        <w:rPr>
          <w:sz w:val="24"/>
          <w:szCs w:val="24"/>
        </w:rPr>
        <w:t xml:space="preserve">s </w:t>
      </w:r>
      <w:r w:rsidR="00450369" w:rsidRPr="00875208">
        <w:rPr>
          <w:sz w:val="24"/>
          <w:szCs w:val="24"/>
        </w:rPr>
        <w:t xml:space="preserve">grant </w:t>
      </w:r>
      <w:r w:rsidRPr="00875208">
        <w:rPr>
          <w:sz w:val="24"/>
          <w:szCs w:val="24"/>
        </w:rPr>
        <w:t>contract (</w:t>
      </w:r>
      <w:r w:rsidR="00AA4FE0" w:rsidRPr="00875208">
        <w:rPr>
          <w:sz w:val="24"/>
          <w:szCs w:val="24"/>
        </w:rPr>
        <w:t xml:space="preserve">see </w:t>
      </w:r>
      <w:r w:rsidRPr="00875208">
        <w:rPr>
          <w:sz w:val="24"/>
          <w:szCs w:val="24"/>
        </w:rPr>
        <w:t xml:space="preserve">Annex </w:t>
      </w:r>
      <w:r w:rsidR="007D4E58" w:rsidRPr="00875208">
        <w:rPr>
          <w:sz w:val="24"/>
          <w:szCs w:val="24"/>
        </w:rPr>
        <w:t>G</w:t>
      </w:r>
      <w:r w:rsidR="004A51E9" w:rsidRPr="00875208">
        <w:rPr>
          <w:sz w:val="24"/>
          <w:szCs w:val="24"/>
        </w:rPr>
        <w:t xml:space="preserve"> of these Guidelines</w:t>
      </w:r>
      <w:r w:rsidR="00F9288E" w:rsidRPr="00875208">
        <w:rPr>
          <w:rStyle w:val="FootnoteReference"/>
          <w:szCs w:val="24"/>
        </w:rPr>
        <w:footnoteReference w:id="21"/>
      </w:r>
      <w:r w:rsidRPr="00875208">
        <w:rPr>
          <w:sz w:val="24"/>
          <w:szCs w:val="24"/>
        </w:rPr>
        <w:t xml:space="preserve">). </w:t>
      </w:r>
      <w:r w:rsidR="00D078E2" w:rsidRPr="00875208">
        <w:rPr>
          <w:sz w:val="24"/>
          <w:szCs w:val="24"/>
        </w:rPr>
        <w:t xml:space="preserve">By signing the </w:t>
      </w:r>
      <w:r w:rsidR="009B7BB7" w:rsidRPr="00875208">
        <w:rPr>
          <w:sz w:val="24"/>
          <w:szCs w:val="24"/>
        </w:rPr>
        <w:t>a</w:t>
      </w:r>
      <w:r w:rsidR="00D078E2" w:rsidRPr="00875208">
        <w:rPr>
          <w:sz w:val="24"/>
          <w:szCs w:val="24"/>
        </w:rPr>
        <w:t>pplication form (Annex A</w:t>
      </w:r>
      <w:r w:rsidR="004A51E9" w:rsidRPr="00875208">
        <w:rPr>
          <w:sz w:val="24"/>
          <w:szCs w:val="24"/>
        </w:rPr>
        <w:t xml:space="preserve"> of these Guidelines</w:t>
      </w:r>
      <w:r w:rsidR="00D078E2" w:rsidRPr="00875208">
        <w:rPr>
          <w:sz w:val="24"/>
          <w:szCs w:val="24"/>
        </w:rPr>
        <w:t>), the applicant</w:t>
      </w:r>
      <w:r w:rsidR="00FA2479" w:rsidRPr="00875208">
        <w:rPr>
          <w:sz w:val="24"/>
          <w:szCs w:val="24"/>
        </w:rPr>
        <w:t>s</w:t>
      </w:r>
      <w:r w:rsidR="00F16D05">
        <w:rPr>
          <w:sz w:val="24"/>
          <w:szCs w:val="24"/>
        </w:rPr>
        <w:t xml:space="preserve"> </w:t>
      </w:r>
      <w:r w:rsidR="009B7BB7" w:rsidRPr="00875208">
        <w:rPr>
          <w:sz w:val="24"/>
          <w:szCs w:val="24"/>
        </w:rPr>
        <w:t>agree</w:t>
      </w:r>
      <w:r w:rsidR="00D078E2" w:rsidRPr="00875208">
        <w:rPr>
          <w:sz w:val="24"/>
          <w:szCs w:val="24"/>
        </w:rPr>
        <w:t xml:space="preserve">, </w:t>
      </w:r>
      <w:r w:rsidR="009B7BB7" w:rsidRPr="00875208">
        <w:rPr>
          <w:sz w:val="24"/>
          <w:szCs w:val="24"/>
        </w:rPr>
        <w:t>if</w:t>
      </w:r>
      <w:r w:rsidR="00D078E2" w:rsidRPr="00875208">
        <w:rPr>
          <w:sz w:val="24"/>
          <w:szCs w:val="24"/>
        </w:rPr>
        <w:t xml:space="preserve"> awarded a grant,</w:t>
      </w:r>
      <w:r w:rsidR="009B7BB7" w:rsidRPr="00875208">
        <w:rPr>
          <w:sz w:val="24"/>
          <w:szCs w:val="24"/>
        </w:rPr>
        <w:t xml:space="preserve"> to accept</w:t>
      </w:r>
      <w:r w:rsidR="00D078E2" w:rsidRPr="00875208">
        <w:rPr>
          <w:sz w:val="24"/>
          <w:szCs w:val="24"/>
        </w:rPr>
        <w:t xml:space="preserve"> the </w:t>
      </w:r>
      <w:r w:rsidR="009B7BB7" w:rsidRPr="00875208">
        <w:rPr>
          <w:sz w:val="24"/>
          <w:szCs w:val="24"/>
        </w:rPr>
        <w:t>c</w:t>
      </w:r>
      <w:r w:rsidR="00D078E2" w:rsidRPr="00875208">
        <w:rPr>
          <w:sz w:val="24"/>
          <w:szCs w:val="24"/>
        </w:rPr>
        <w:t xml:space="preserve">ontractual conditions </w:t>
      </w:r>
      <w:r w:rsidR="009B7BB7" w:rsidRPr="00875208">
        <w:rPr>
          <w:sz w:val="24"/>
          <w:szCs w:val="24"/>
        </w:rPr>
        <w:t>of</w:t>
      </w:r>
      <w:r w:rsidR="00D078E2" w:rsidRPr="00875208">
        <w:rPr>
          <w:sz w:val="24"/>
          <w:szCs w:val="24"/>
        </w:rPr>
        <w:t xml:space="preserve"> the </w:t>
      </w:r>
      <w:r w:rsidR="00450369" w:rsidRPr="00875208">
        <w:rPr>
          <w:sz w:val="24"/>
          <w:szCs w:val="24"/>
        </w:rPr>
        <w:t>standard grant contract</w:t>
      </w:r>
      <w:r w:rsidR="00D23C8D" w:rsidRPr="00875208">
        <w:rPr>
          <w:sz w:val="24"/>
          <w:szCs w:val="24"/>
        </w:rPr>
        <w:t>.</w:t>
      </w:r>
    </w:p>
    <w:p w:rsidR="0007408E" w:rsidRPr="00875208" w:rsidRDefault="0007408E" w:rsidP="00984331">
      <w:pPr>
        <w:spacing w:before="240"/>
        <w:rPr>
          <w:sz w:val="24"/>
          <w:szCs w:val="24"/>
          <w:u w:val="single"/>
        </w:rPr>
      </w:pPr>
      <w:r w:rsidRPr="00875208">
        <w:rPr>
          <w:sz w:val="24"/>
          <w:szCs w:val="24"/>
          <w:u w:val="single"/>
        </w:rPr>
        <w:t>Implementation contracts</w:t>
      </w:r>
    </w:p>
    <w:p w:rsidR="00CF7D0A" w:rsidRPr="00875208" w:rsidRDefault="0007408E" w:rsidP="003F46CC">
      <w:pPr>
        <w:rPr>
          <w:sz w:val="24"/>
          <w:szCs w:val="24"/>
        </w:rPr>
      </w:pPr>
      <w:r w:rsidRPr="00875208">
        <w:rPr>
          <w:sz w:val="24"/>
          <w:szCs w:val="24"/>
        </w:rPr>
        <w:t>Where implementation of the action requires the Beneficiar</w:t>
      </w:r>
      <w:r w:rsidR="00544E5D" w:rsidRPr="00875208">
        <w:rPr>
          <w:sz w:val="24"/>
          <w:szCs w:val="24"/>
        </w:rPr>
        <w:t>y(ies)</w:t>
      </w:r>
      <w:r w:rsidR="00CA1EA5">
        <w:rPr>
          <w:sz w:val="24"/>
          <w:szCs w:val="24"/>
        </w:rPr>
        <w:t xml:space="preserve"> </w:t>
      </w:r>
      <w:r w:rsidR="00544E5D" w:rsidRPr="00875208">
        <w:rPr>
          <w:sz w:val="24"/>
          <w:szCs w:val="24"/>
        </w:rPr>
        <w:t>and its affiliated entity(ies) (if any)</w:t>
      </w:r>
      <w:r w:rsidR="00CA1EA5">
        <w:rPr>
          <w:sz w:val="24"/>
          <w:szCs w:val="24"/>
        </w:rPr>
        <w:t xml:space="preserve"> </w:t>
      </w:r>
      <w:r w:rsidRPr="00875208">
        <w:rPr>
          <w:sz w:val="24"/>
          <w:szCs w:val="24"/>
        </w:rPr>
        <w:t xml:space="preserve">to award procurement contracts, </w:t>
      </w:r>
      <w:r w:rsidR="00DC1934" w:rsidRPr="00875208">
        <w:rPr>
          <w:sz w:val="24"/>
          <w:szCs w:val="24"/>
        </w:rPr>
        <w:t>those contracts must be awarded in accordance with</w:t>
      </w:r>
      <w:r w:rsidRPr="00875208">
        <w:rPr>
          <w:sz w:val="24"/>
          <w:szCs w:val="24"/>
        </w:rPr>
        <w:t xml:space="preserve"> Annex IV to the </w:t>
      </w:r>
      <w:r w:rsidR="0046081F" w:rsidRPr="00875208">
        <w:rPr>
          <w:sz w:val="24"/>
          <w:szCs w:val="24"/>
        </w:rPr>
        <w:t xml:space="preserve">standard grant </w:t>
      </w:r>
      <w:r w:rsidR="00D23749" w:rsidRPr="00875208">
        <w:rPr>
          <w:sz w:val="24"/>
          <w:szCs w:val="24"/>
        </w:rPr>
        <w:t>contract</w:t>
      </w:r>
      <w:r w:rsidR="00367AA3">
        <w:rPr>
          <w:sz w:val="24"/>
          <w:szCs w:val="24"/>
        </w:rPr>
        <w:t>.</w:t>
      </w:r>
    </w:p>
    <w:p w:rsidR="003F6031" w:rsidRDefault="003F6031" w:rsidP="003F6031">
      <w:pPr>
        <w:pStyle w:val="Guidelines1"/>
        <w:numPr>
          <w:ilvl w:val="0"/>
          <w:numId w:val="0"/>
        </w:numPr>
        <w:ind w:left="567"/>
        <w:rPr>
          <w:rFonts w:ascii="Times New Roman" w:hAnsi="Times New Roman"/>
          <w:sz w:val="24"/>
          <w:szCs w:val="24"/>
        </w:rPr>
      </w:pPr>
      <w:bookmarkStart w:id="48" w:name="_Toc40507656"/>
      <w:bookmarkStart w:id="49" w:name="_Toc384374725"/>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F6031">
      <w:pPr>
        <w:pStyle w:val="Guidelines1"/>
        <w:numPr>
          <w:ilvl w:val="0"/>
          <w:numId w:val="0"/>
        </w:numPr>
        <w:ind w:left="567"/>
        <w:rPr>
          <w:rFonts w:ascii="Times New Roman" w:hAnsi="Times New Roman"/>
          <w:sz w:val="24"/>
          <w:szCs w:val="24"/>
        </w:rPr>
      </w:pPr>
    </w:p>
    <w:p w:rsidR="007E4EE8" w:rsidRDefault="007E4EE8" w:rsidP="003363DD">
      <w:pPr>
        <w:pStyle w:val="Guidelines1"/>
        <w:numPr>
          <w:ilvl w:val="0"/>
          <w:numId w:val="0"/>
        </w:numPr>
        <w:rPr>
          <w:rFonts w:ascii="Times New Roman" w:hAnsi="Times New Roman"/>
          <w:sz w:val="24"/>
          <w:szCs w:val="24"/>
        </w:rPr>
      </w:pPr>
    </w:p>
    <w:p w:rsidR="00213985" w:rsidRDefault="00213985" w:rsidP="003363DD">
      <w:pPr>
        <w:pStyle w:val="Guidelines1"/>
        <w:numPr>
          <w:ilvl w:val="0"/>
          <w:numId w:val="0"/>
        </w:numPr>
        <w:rPr>
          <w:rFonts w:ascii="Times New Roman" w:hAnsi="Times New Roman"/>
          <w:sz w:val="24"/>
          <w:szCs w:val="24"/>
        </w:rPr>
      </w:pPr>
    </w:p>
    <w:p w:rsidR="00213985" w:rsidRDefault="00213985" w:rsidP="003363DD">
      <w:pPr>
        <w:pStyle w:val="Guidelines1"/>
        <w:numPr>
          <w:ilvl w:val="0"/>
          <w:numId w:val="0"/>
        </w:numPr>
        <w:rPr>
          <w:rFonts w:ascii="Times New Roman" w:hAnsi="Times New Roman"/>
          <w:sz w:val="24"/>
          <w:szCs w:val="24"/>
        </w:rPr>
      </w:pPr>
    </w:p>
    <w:p w:rsidR="00213985" w:rsidRDefault="00213985" w:rsidP="003363DD">
      <w:pPr>
        <w:pStyle w:val="Guidelines1"/>
        <w:numPr>
          <w:ilvl w:val="0"/>
          <w:numId w:val="0"/>
        </w:numPr>
        <w:rPr>
          <w:rFonts w:ascii="Times New Roman" w:hAnsi="Times New Roman"/>
          <w:sz w:val="24"/>
          <w:szCs w:val="24"/>
        </w:rPr>
      </w:pPr>
    </w:p>
    <w:p w:rsidR="00213985" w:rsidRDefault="00213985" w:rsidP="003363DD">
      <w:pPr>
        <w:pStyle w:val="Guidelines1"/>
        <w:numPr>
          <w:ilvl w:val="0"/>
          <w:numId w:val="0"/>
        </w:numPr>
        <w:rPr>
          <w:rFonts w:ascii="Times New Roman" w:hAnsi="Times New Roman"/>
          <w:sz w:val="24"/>
          <w:szCs w:val="24"/>
        </w:rPr>
      </w:pPr>
    </w:p>
    <w:p w:rsidR="0007408E" w:rsidRPr="00875208" w:rsidRDefault="0007408E" w:rsidP="00D97BE7">
      <w:pPr>
        <w:pStyle w:val="Guidelines1"/>
        <w:rPr>
          <w:rFonts w:ascii="Times New Roman" w:hAnsi="Times New Roman"/>
          <w:sz w:val="24"/>
          <w:szCs w:val="24"/>
        </w:rPr>
      </w:pPr>
      <w:r w:rsidRPr="00875208">
        <w:rPr>
          <w:rFonts w:ascii="Times New Roman" w:hAnsi="Times New Roman"/>
          <w:sz w:val="24"/>
          <w:szCs w:val="24"/>
        </w:rPr>
        <w:lastRenderedPageBreak/>
        <w:t>LIST OF annexes</w:t>
      </w:r>
      <w:bookmarkEnd w:id="48"/>
      <w:bookmarkEnd w:id="49"/>
    </w:p>
    <w:p w:rsidR="00112E4F" w:rsidRPr="00875208" w:rsidRDefault="002850B1" w:rsidP="00600738">
      <w:pPr>
        <w:rPr>
          <w:b/>
          <w:smallCaps/>
          <w:sz w:val="24"/>
          <w:szCs w:val="24"/>
        </w:rPr>
      </w:pPr>
      <w:bookmarkStart w:id="50" w:name="_Toc40507657"/>
      <w:r>
        <w:rPr>
          <w:b/>
          <w:smallCaps/>
          <w:sz w:val="24"/>
          <w:szCs w:val="24"/>
        </w:rPr>
        <w:t>DOCUMENTS TO BE COMPLETED</w:t>
      </w:r>
    </w:p>
    <w:p w:rsidR="0007408E" w:rsidRPr="00875208" w:rsidRDefault="0007408E" w:rsidP="002D4ACD">
      <w:pPr>
        <w:spacing w:after="120"/>
        <w:ind w:left="1134" w:hanging="1134"/>
        <w:rPr>
          <w:sz w:val="24"/>
          <w:szCs w:val="24"/>
        </w:rPr>
      </w:pPr>
      <w:r w:rsidRPr="00875208">
        <w:rPr>
          <w:sz w:val="24"/>
          <w:szCs w:val="24"/>
        </w:rPr>
        <w:t>Annex A:</w:t>
      </w:r>
      <w:r w:rsidR="00600738" w:rsidRPr="00875208">
        <w:rPr>
          <w:sz w:val="24"/>
          <w:szCs w:val="24"/>
        </w:rPr>
        <w:tab/>
      </w:r>
      <w:r w:rsidRPr="00875208">
        <w:rPr>
          <w:sz w:val="24"/>
          <w:szCs w:val="24"/>
        </w:rPr>
        <w:t>Grant Application Form (Word format)</w:t>
      </w:r>
      <w:bookmarkEnd w:id="50"/>
    </w:p>
    <w:p w:rsidR="008D553A" w:rsidRPr="00875208" w:rsidRDefault="00600738" w:rsidP="002D4ACD">
      <w:pPr>
        <w:spacing w:after="120"/>
        <w:ind w:left="1134" w:hanging="1134"/>
        <w:rPr>
          <w:sz w:val="24"/>
          <w:szCs w:val="24"/>
        </w:rPr>
      </w:pPr>
      <w:bookmarkStart w:id="51" w:name="_Toc40507658"/>
      <w:r w:rsidRPr="00875208">
        <w:rPr>
          <w:sz w:val="24"/>
          <w:szCs w:val="24"/>
        </w:rPr>
        <w:t>Annex B:</w:t>
      </w:r>
      <w:r w:rsidRPr="00875208">
        <w:rPr>
          <w:sz w:val="24"/>
          <w:szCs w:val="24"/>
        </w:rPr>
        <w:tab/>
      </w:r>
      <w:r w:rsidR="0007408E" w:rsidRPr="00875208">
        <w:rPr>
          <w:sz w:val="24"/>
          <w:szCs w:val="24"/>
        </w:rPr>
        <w:t>Budget (Excel format)</w:t>
      </w:r>
      <w:bookmarkEnd w:id="51"/>
    </w:p>
    <w:p w:rsidR="0007408E" w:rsidRPr="00875208" w:rsidRDefault="0007408E" w:rsidP="002D4ACD">
      <w:pPr>
        <w:spacing w:after="120"/>
        <w:ind w:left="1134" w:hanging="1134"/>
        <w:rPr>
          <w:sz w:val="24"/>
          <w:szCs w:val="24"/>
        </w:rPr>
      </w:pPr>
      <w:bookmarkStart w:id="52" w:name="_Toc40507659"/>
      <w:r w:rsidRPr="00875208">
        <w:rPr>
          <w:sz w:val="24"/>
          <w:szCs w:val="24"/>
        </w:rPr>
        <w:t>Annex C:</w:t>
      </w:r>
      <w:r w:rsidR="00600738" w:rsidRPr="00875208">
        <w:rPr>
          <w:sz w:val="24"/>
          <w:szCs w:val="24"/>
        </w:rPr>
        <w:tab/>
      </w:r>
      <w:r w:rsidRPr="00875208">
        <w:rPr>
          <w:sz w:val="24"/>
          <w:szCs w:val="24"/>
        </w:rPr>
        <w:t>Logical Framework (Excel format)</w:t>
      </w:r>
      <w:bookmarkEnd w:id="52"/>
      <w:r w:rsidR="00DB227A" w:rsidRPr="00875208">
        <w:rPr>
          <w:rStyle w:val="FootnoteReference"/>
          <w:szCs w:val="24"/>
        </w:rPr>
        <w:footnoteReference w:id="22"/>
      </w:r>
    </w:p>
    <w:p w:rsidR="0079640D" w:rsidRPr="00875208" w:rsidRDefault="0007408E" w:rsidP="002D4ACD">
      <w:pPr>
        <w:spacing w:after="120"/>
        <w:ind w:left="1134" w:hanging="1134"/>
        <w:rPr>
          <w:sz w:val="24"/>
          <w:szCs w:val="24"/>
        </w:rPr>
      </w:pPr>
      <w:bookmarkStart w:id="53" w:name="_Toc40507660"/>
      <w:r w:rsidRPr="00875208">
        <w:rPr>
          <w:sz w:val="24"/>
          <w:szCs w:val="24"/>
        </w:rPr>
        <w:t>Annex D:</w:t>
      </w:r>
      <w:bookmarkEnd w:id="53"/>
      <w:r w:rsidR="00600738" w:rsidRPr="00875208">
        <w:rPr>
          <w:sz w:val="24"/>
          <w:szCs w:val="24"/>
        </w:rPr>
        <w:tab/>
      </w:r>
      <w:r w:rsidR="00DB227A" w:rsidRPr="00875208">
        <w:rPr>
          <w:sz w:val="24"/>
          <w:szCs w:val="24"/>
        </w:rPr>
        <w:t xml:space="preserve">Legal Entity </w:t>
      </w:r>
      <w:r w:rsidR="00FA2043" w:rsidRPr="00875208">
        <w:rPr>
          <w:sz w:val="24"/>
          <w:szCs w:val="24"/>
        </w:rPr>
        <w:t>Sheet</w:t>
      </w:r>
      <w:r w:rsidR="00B54C9C" w:rsidRPr="00875208">
        <w:rPr>
          <w:rStyle w:val="FootnoteReference"/>
          <w:szCs w:val="24"/>
        </w:rPr>
        <w:footnoteReference w:id="23"/>
      </w:r>
      <w:bookmarkStart w:id="54" w:name="_Toc40507661"/>
    </w:p>
    <w:p w:rsidR="00872E67" w:rsidRPr="00875208" w:rsidRDefault="00872E67" w:rsidP="002D4ACD">
      <w:pPr>
        <w:spacing w:after="120"/>
        <w:ind w:left="1134" w:hanging="1134"/>
        <w:rPr>
          <w:sz w:val="24"/>
          <w:szCs w:val="24"/>
        </w:rPr>
      </w:pPr>
      <w:r w:rsidRPr="00875208">
        <w:rPr>
          <w:sz w:val="24"/>
          <w:szCs w:val="24"/>
        </w:rPr>
        <w:t>Annex E:</w:t>
      </w:r>
      <w:r w:rsidR="00600738" w:rsidRPr="00875208">
        <w:rPr>
          <w:sz w:val="24"/>
          <w:szCs w:val="24"/>
        </w:rPr>
        <w:tab/>
      </w:r>
      <w:r w:rsidRPr="00875208">
        <w:rPr>
          <w:sz w:val="24"/>
          <w:szCs w:val="24"/>
        </w:rPr>
        <w:t>Financial identification form</w:t>
      </w:r>
    </w:p>
    <w:p w:rsidR="00655373" w:rsidRDefault="00655373" w:rsidP="00655373">
      <w:pPr>
        <w:rPr>
          <w:b/>
          <w:smallCaps/>
          <w:sz w:val="24"/>
          <w:szCs w:val="24"/>
        </w:rPr>
      </w:pPr>
    </w:p>
    <w:p w:rsidR="00112E4F" w:rsidRPr="00875208" w:rsidRDefault="00112E4F" w:rsidP="00655373">
      <w:pPr>
        <w:rPr>
          <w:b/>
          <w:smallCaps/>
          <w:sz w:val="24"/>
          <w:szCs w:val="24"/>
        </w:rPr>
      </w:pPr>
      <w:r w:rsidRPr="00655373">
        <w:rPr>
          <w:b/>
          <w:smallCaps/>
          <w:sz w:val="24"/>
          <w:szCs w:val="24"/>
        </w:rPr>
        <w:t>DOCUMENTS FOR INFORMATION</w:t>
      </w:r>
    </w:p>
    <w:p w:rsidR="00946471" w:rsidRPr="00875208" w:rsidRDefault="0007408E" w:rsidP="00600738">
      <w:pPr>
        <w:ind w:left="1134" w:hanging="1134"/>
        <w:rPr>
          <w:sz w:val="24"/>
          <w:szCs w:val="24"/>
          <w:lang w:val="fr-BE"/>
        </w:rPr>
      </w:pPr>
      <w:r w:rsidRPr="00875208">
        <w:rPr>
          <w:sz w:val="24"/>
          <w:szCs w:val="24"/>
          <w:lang w:val="fr-BE"/>
        </w:rPr>
        <w:t>Annex</w:t>
      </w:r>
      <w:r w:rsidR="00F16D05">
        <w:rPr>
          <w:sz w:val="24"/>
          <w:szCs w:val="24"/>
          <w:lang w:val="fr-BE"/>
        </w:rPr>
        <w:t xml:space="preserve"> </w:t>
      </w:r>
      <w:r w:rsidR="00C067EC" w:rsidRPr="00875208">
        <w:rPr>
          <w:sz w:val="24"/>
          <w:szCs w:val="24"/>
          <w:lang w:val="fr-BE"/>
        </w:rPr>
        <w:t>G</w:t>
      </w:r>
      <w:r w:rsidR="00600738" w:rsidRPr="00875208">
        <w:rPr>
          <w:sz w:val="24"/>
          <w:szCs w:val="24"/>
          <w:lang w:val="fr-BE"/>
        </w:rPr>
        <w:t>:</w:t>
      </w:r>
      <w:r w:rsidR="00600738" w:rsidRPr="00875208">
        <w:rPr>
          <w:sz w:val="24"/>
          <w:szCs w:val="24"/>
          <w:lang w:val="fr-BE"/>
        </w:rPr>
        <w:tab/>
      </w:r>
      <w:r w:rsidRPr="00875208">
        <w:rPr>
          <w:sz w:val="24"/>
          <w:szCs w:val="24"/>
          <w:lang w:val="fr-BE"/>
        </w:rPr>
        <w:t xml:space="preserve">Standard </w:t>
      </w:r>
      <w:r w:rsidR="00450369" w:rsidRPr="00875208">
        <w:rPr>
          <w:sz w:val="24"/>
          <w:szCs w:val="24"/>
          <w:lang w:val="fr-BE"/>
        </w:rPr>
        <w:t xml:space="preserve">Grant </w:t>
      </w:r>
      <w:r w:rsidRPr="00875208">
        <w:rPr>
          <w:sz w:val="24"/>
          <w:szCs w:val="24"/>
          <w:lang w:val="fr-BE"/>
        </w:rPr>
        <w:t>Contract</w:t>
      </w:r>
    </w:p>
    <w:bookmarkEnd w:id="54"/>
    <w:p w:rsidR="00946471" w:rsidRPr="00875208" w:rsidRDefault="005677E7" w:rsidP="00BC0D86">
      <w:pPr>
        <w:tabs>
          <w:tab w:val="left" w:pos="567"/>
          <w:tab w:val="left" w:pos="1701"/>
        </w:tabs>
        <w:spacing w:after="0"/>
        <w:ind w:left="1701" w:hanging="1276"/>
        <w:rPr>
          <w:sz w:val="24"/>
          <w:szCs w:val="24"/>
        </w:rPr>
      </w:pPr>
      <w:r w:rsidRPr="00875208">
        <w:rPr>
          <w:sz w:val="24"/>
          <w:szCs w:val="24"/>
        </w:rPr>
        <w:t>-</w:t>
      </w:r>
      <w:r w:rsidR="00946471" w:rsidRPr="00875208">
        <w:rPr>
          <w:sz w:val="24"/>
          <w:szCs w:val="24"/>
        </w:rPr>
        <w:tab/>
      </w:r>
      <w:r w:rsidRPr="00875208">
        <w:rPr>
          <w:sz w:val="24"/>
          <w:szCs w:val="24"/>
        </w:rPr>
        <w:t>Annex II:</w:t>
      </w:r>
      <w:r w:rsidR="00946471" w:rsidRPr="00875208">
        <w:rPr>
          <w:sz w:val="24"/>
          <w:szCs w:val="24"/>
        </w:rPr>
        <w:tab/>
      </w:r>
      <w:r w:rsidRPr="00875208">
        <w:rPr>
          <w:sz w:val="24"/>
          <w:szCs w:val="24"/>
        </w:rPr>
        <w:t xml:space="preserve">General conditions </w:t>
      </w:r>
    </w:p>
    <w:p w:rsidR="00946471" w:rsidRPr="00875208" w:rsidRDefault="005677E7" w:rsidP="00BC0D86">
      <w:pPr>
        <w:tabs>
          <w:tab w:val="left" w:pos="567"/>
          <w:tab w:val="left" w:pos="1701"/>
        </w:tabs>
        <w:spacing w:after="0"/>
        <w:ind w:left="1701" w:hanging="1276"/>
        <w:rPr>
          <w:sz w:val="24"/>
          <w:szCs w:val="24"/>
        </w:rPr>
      </w:pPr>
      <w:r w:rsidRPr="00875208">
        <w:rPr>
          <w:sz w:val="24"/>
          <w:szCs w:val="24"/>
        </w:rPr>
        <w:t>-</w:t>
      </w:r>
      <w:r w:rsidR="00946471" w:rsidRPr="00875208">
        <w:rPr>
          <w:sz w:val="24"/>
          <w:szCs w:val="24"/>
        </w:rPr>
        <w:tab/>
      </w:r>
      <w:r w:rsidRPr="00875208">
        <w:rPr>
          <w:sz w:val="24"/>
          <w:szCs w:val="24"/>
        </w:rPr>
        <w:t>Annex IV</w:t>
      </w:r>
      <w:r w:rsidR="004D7B57" w:rsidRPr="00875208">
        <w:rPr>
          <w:sz w:val="24"/>
          <w:szCs w:val="24"/>
        </w:rPr>
        <w:t>:</w:t>
      </w:r>
      <w:r w:rsidR="00946471" w:rsidRPr="00875208">
        <w:rPr>
          <w:sz w:val="24"/>
          <w:szCs w:val="24"/>
        </w:rPr>
        <w:tab/>
      </w:r>
      <w:r w:rsidRPr="00875208">
        <w:rPr>
          <w:sz w:val="24"/>
          <w:szCs w:val="24"/>
        </w:rPr>
        <w:t>contract award procedures</w:t>
      </w:r>
    </w:p>
    <w:p w:rsidR="00946471" w:rsidRPr="00875208" w:rsidRDefault="005677E7" w:rsidP="00BC0D86">
      <w:pPr>
        <w:tabs>
          <w:tab w:val="left" w:pos="567"/>
          <w:tab w:val="left" w:pos="1701"/>
        </w:tabs>
        <w:spacing w:after="0"/>
        <w:ind w:left="1701" w:hanging="1276"/>
        <w:rPr>
          <w:sz w:val="24"/>
          <w:szCs w:val="24"/>
        </w:rPr>
      </w:pPr>
      <w:r w:rsidRPr="00875208">
        <w:rPr>
          <w:sz w:val="24"/>
          <w:szCs w:val="24"/>
        </w:rPr>
        <w:t>-</w:t>
      </w:r>
      <w:r w:rsidR="00946471" w:rsidRPr="00875208">
        <w:rPr>
          <w:sz w:val="24"/>
          <w:szCs w:val="24"/>
        </w:rPr>
        <w:tab/>
      </w:r>
      <w:r w:rsidRPr="00875208">
        <w:rPr>
          <w:sz w:val="24"/>
          <w:szCs w:val="24"/>
        </w:rPr>
        <w:t>A</w:t>
      </w:r>
      <w:r w:rsidR="00600738" w:rsidRPr="00875208">
        <w:rPr>
          <w:sz w:val="24"/>
          <w:szCs w:val="24"/>
        </w:rPr>
        <w:t>nnex</w:t>
      </w:r>
      <w:r w:rsidRPr="00875208">
        <w:rPr>
          <w:sz w:val="24"/>
          <w:szCs w:val="24"/>
        </w:rPr>
        <w:t xml:space="preserve"> V</w:t>
      </w:r>
      <w:r w:rsidR="004D7B57" w:rsidRPr="00875208">
        <w:rPr>
          <w:sz w:val="24"/>
          <w:szCs w:val="24"/>
        </w:rPr>
        <w:t>:</w:t>
      </w:r>
      <w:r w:rsidR="00946471" w:rsidRPr="00875208">
        <w:rPr>
          <w:sz w:val="24"/>
          <w:szCs w:val="24"/>
        </w:rPr>
        <w:tab/>
      </w:r>
      <w:r w:rsidRPr="00875208">
        <w:rPr>
          <w:sz w:val="24"/>
          <w:szCs w:val="24"/>
        </w:rPr>
        <w:t>standard request for payment</w:t>
      </w:r>
    </w:p>
    <w:p w:rsidR="00946471" w:rsidRPr="00875208" w:rsidRDefault="005677E7" w:rsidP="00BC0D86">
      <w:pPr>
        <w:tabs>
          <w:tab w:val="left" w:pos="567"/>
          <w:tab w:val="left" w:pos="1701"/>
        </w:tabs>
        <w:spacing w:after="0"/>
        <w:ind w:left="1701" w:hanging="1276"/>
        <w:rPr>
          <w:sz w:val="24"/>
          <w:szCs w:val="24"/>
        </w:rPr>
      </w:pPr>
      <w:r w:rsidRPr="00875208">
        <w:rPr>
          <w:sz w:val="24"/>
          <w:szCs w:val="24"/>
        </w:rPr>
        <w:t>-</w:t>
      </w:r>
      <w:r w:rsidR="00946471" w:rsidRPr="00875208">
        <w:rPr>
          <w:sz w:val="24"/>
          <w:szCs w:val="24"/>
        </w:rPr>
        <w:tab/>
      </w:r>
      <w:r w:rsidR="009D141D" w:rsidRPr="00875208">
        <w:rPr>
          <w:sz w:val="24"/>
          <w:szCs w:val="24"/>
        </w:rPr>
        <w:t>A</w:t>
      </w:r>
      <w:r w:rsidRPr="00875208">
        <w:rPr>
          <w:sz w:val="24"/>
          <w:szCs w:val="24"/>
        </w:rPr>
        <w:t>nnex VI</w:t>
      </w:r>
      <w:r w:rsidR="004D7B57" w:rsidRPr="00875208">
        <w:rPr>
          <w:sz w:val="24"/>
          <w:szCs w:val="24"/>
        </w:rPr>
        <w:t>:</w:t>
      </w:r>
      <w:r w:rsidR="00946471" w:rsidRPr="00875208">
        <w:rPr>
          <w:sz w:val="24"/>
          <w:szCs w:val="24"/>
        </w:rPr>
        <w:tab/>
      </w:r>
      <w:r w:rsidRPr="00875208">
        <w:rPr>
          <w:sz w:val="24"/>
          <w:szCs w:val="24"/>
        </w:rPr>
        <w:t>model narrative and financial report</w:t>
      </w:r>
    </w:p>
    <w:p w:rsidR="00946471" w:rsidRDefault="00600738" w:rsidP="00BC0D86">
      <w:pPr>
        <w:tabs>
          <w:tab w:val="left" w:pos="567"/>
          <w:tab w:val="left" w:pos="1701"/>
        </w:tabs>
        <w:spacing w:after="0"/>
        <w:ind w:left="1701" w:hanging="1276"/>
        <w:rPr>
          <w:sz w:val="24"/>
          <w:szCs w:val="24"/>
        </w:rPr>
      </w:pPr>
      <w:r w:rsidRPr="00875208">
        <w:rPr>
          <w:sz w:val="24"/>
          <w:szCs w:val="24"/>
        </w:rPr>
        <w:t>-A</w:t>
      </w:r>
      <w:r w:rsidR="005677E7" w:rsidRPr="00875208">
        <w:rPr>
          <w:sz w:val="24"/>
          <w:szCs w:val="24"/>
        </w:rPr>
        <w:t xml:space="preserve">nnex </w:t>
      </w:r>
      <w:r w:rsidRPr="00875208">
        <w:rPr>
          <w:sz w:val="24"/>
          <w:szCs w:val="24"/>
        </w:rPr>
        <w:t>VII</w:t>
      </w:r>
      <w:r w:rsidR="005677E7" w:rsidRPr="00875208">
        <w:rPr>
          <w:sz w:val="24"/>
          <w:szCs w:val="24"/>
        </w:rPr>
        <w:t>:</w:t>
      </w:r>
      <w:r w:rsidR="00946471" w:rsidRPr="00875208">
        <w:rPr>
          <w:sz w:val="24"/>
          <w:szCs w:val="24"/>
        </w:rPr>
        <w:tab/>
      </w:r>
      <w:r w:rsidR="005677E7" w:rsidRPr="00875208">
        <w:rPr>
          <w:sz w:val="24"/>
          <w:szCs w:val="24"/>
        </w:rPr>
        <w:t xml:space="preserve">model report of factual findings and terms of reference for an expenditure verification of an </w:t>
      </w:r>
      <w:r w:rsidR="00D23749" w:rsidRPr="00875208">
        <w:rPr>
          <w:sz w:val="24"/>
          <w:szCs w:val="24"/>
        </w:rPr>
        <w:t xml:space="preserve">EU </w:t>
      </w:r>
      <w:r w:rsidR="005677E7" w:rsidRPr="00875208">
        <w:rPr>
          <w:sz w:val="24"/>
          <w:szCs w:val="24"/>
        </w:rPr>
        <w:t>financed grant contract for external action</w:t>
      </w:r>
    </w:p>
    <w:p w:rsidR="00761B86" w:rsidRPr="00875208" w:rsidRDefault="00761B86" w:rsidP="00BC0D86">
      <w:pPr>
        <w:tabs>
          <w:tab w:val="left" w:pos="567"/>
          <w:tab w:val="left" w:pos="1701"/>
        </w:tabs>
        <w:spacing w:after="0"/>
        <w:ind w:left="1701" w:hanging="1276"/>
        <w:rPr>
          <w:sz w:val="24"/>
          <w:szCs w:val="24"/>
        </w:rPr>
      </w:pPr>
      <w:r>
        <w:rPr>
          <w:sz w:val="24"/>
          <w:szCs w:val="24"/>
        </w:rPr>
        <w:t xml:space="preserve">- </w:t>
      </w:r>
      <w:r w:rsidRPr="00761B86">
        <w:rPr>
          <w:sz w:val="24"/>
          <w:szCs w:val="24"/>
        </w:rPr>
        <w:t>Annex IX:</w:t>
      </w:r>
      <w:r w:rsidRPr="00761B86">
        <w:rPr>
          <w:sz w:val="24"/>
          <w:szCs w:val="24"/>
        </w:rPr>
        <w:tab/>
        <w:t>standard template for transfer of ownership of assets</w:t>
      </w:r>
    </w:p>
    <w:p w:rsidR="0048369D" w:rsidRPr="00875208" w:rsidRDefault="0048369D" w:rsidP="00BC0D86">
      <w:pPr>
        <w:tabs>
          <w:tab w:val="left" w:pos="567"/>
          <w:tab w:val="left" w:pos="1701"/>
        </w:tabs>
        <w:spacing w:after="0"/>
        <w:ind w:left="1701" w:hanging="1276"/>
        <w:rPr>
          <w:sz w:val="24"/>
          <w:szCs w:val="24"/>
        </w:rPr>
      </w:pPr>
    </w:p>
    <w:p w:rsidR="0048369D" w:rsidRPr="00875208" w:rsidRDefault="0048369D" w:rsidP="00BC0D86">
      <w:pPr>
        <w:tabs>
          <w:tab w:val="left" w:pos="567"/>
          <w:tab w:val="left" w:pos="1701"/>
        </w:tabs>
        <w:spacing w:after="0"/>
        <w:ind w:left="1701" w:hanging="1276"/>
        <w:rPr>
          <w:sz w:val="24"/>
          <w:szCs w:val="24"/>
        </w:rPr>
      </w:pPr>
    </w:p>
    <w:p w:rsidR="00112E4F" w:rsidRPr="00875208" w:rsidRDefault="00112E4F" w:rsidP="00600738">
      <w:pPr>
        <w:tabs>
          <w:tab w:val="left" w:pos="1134"/>
        </w:tabs>
        <w:ind w:left="1134" w:hanging="1134"/>
        <w:jc w:val="left"/>
        <w:rPr>
          <w:sz w:val="24"/>
          <w:szCs w:val="24"/>
        </w:rPr>
      </w:pPr>
      <w:r w:rsidRPr="00875208">
        <w:rPr>
          <w:sz w:val="24"/>
          <w:szCs w:val="24"/>
        </w:rPr>
        <w:t>A</w:t>
      </w:r>
      <w:r w:rsidR="00600738" w:rsidRPr="00875208">
        <w:rPr>
          <w:sz w:val="24"/>
          <w:szCs w:val="24"/>
        </w:rPr>
        <w:t>nnex H:</w:t>
      </w:r>
      <w:r w:rsidR="00600738" w:rsidRPr="00875208">
        <w:rPr>
          <w:sz w:val="24"/>
          <w:szCs w:val="24"/>
        </w:rPr>
        <w:tab/>
      </w:r>
      <w:r w:rsidR="00AA4FE0" w:rsidRPr="00875208">
        <w:rPr>
          <w:sz w:val="24"/>
          <w:szCs w:val="24"/>
        </w:rPr>
        <w:t>Daily allowance rates (</w:t>
      </w:r>
      <w:r w:rsidRPr="00875208">
        <w:rPr>
          <w:sz w:val="24"/>
          <w:szCs w:val="24"/>
        </w:rPr>
        <w:t>Per diem</w:t>
      </w:r>
      <w:r w:rsidR="00AA4FE0" w:rsidRPr="00875208">
        <w:rPr>
          <w:sz w:val="24"/>
          <w:szCs w:val="24"/>
        </w:rPr>
        <w:t>)</w:t>
      </w:r>
      <w:r w:rsidRPr="00875208">
        <w:rPr>
          <w:sz w:val="24"/>
          <w:szCs w:val="24"/>
        </w:rPr>
        <w:t xml:space="preserve">, available at the following address: </w:t>
      </w:r>
      <w:hyperlink r:id="rId22" w:history="1">
        <w:r w:rsidR="00ED7E20" w:rsidRPr="00F163A6">
          <w:rPr>
            <w:rStyle w:val="Hyperlink"/>
            <w:sz w:val="24"/>
            <w:szCs w:val="24"/>
          </w:rPr>
          <w:t>http://ec.europa.eu/europeaid/funding/about-calls-tender/procedures-and-practical-guide-prag/diems_en</w:t>
        </w:r>
      </w:hyperlink>
      <w:r w:rsidR="00ED7E20">
        <w:rPr>
          <w:sz w:val="24"/>
          <w:szCs w:val="24"/>
        </w:rPr>
        <w:t xml:space="preserve"> </w:t>
      </w:r>
    </w:p>
    <w:p w:rsidR="000A05D7" w:rsidRPr="00875208" w:rsidRDefault="000A05D7" w:rsidP="000A05D7">
      <w:pPr>
        <w:tabs>
          <w:tab w:val="left" w:pos="1134"/>
        </w:tabs>
        <w:ind w:left="1134" w:hanging="1134"/>
        <w:jc w:val="left"/>
        <w:rPr>
          <w:sz w:val="24"/>
          <w:szCs w:val="24"/>
        </w:rPr>
      </w:pPr>
      <w:bookmarkStart w:id="55" w:name="_Toc216513983"/>
      <w:r w:rsidRPr="00875208">
        <w:rPr>
          <w:sz w:val="24"/>
          <w:szCs w:val="24"/>
        </w:rPr>
        <w:t>A</w:t>
      </w:r>
      <w:r>
        <w:rPr>
          <w:sz w:val="24"/>
          <w:szCs w:val="24"/>
        </w:rPr>
        <w:t>nnex</w:t>
      </w:r>
      <w:r w:rsidRPr="00875208">
        <w:rPr>
          <w:sz w:val="24"/>
          <w:szCs w:val="24"/>
        </w:rPr>
        <w:t xml:space="preserve"> J:</w:t>
      </w:r>
      <w:r w:rsidRPr="00875208">
        <w:rPr>
          <w:sz w:val="24"/>
          <w:szCs w:val="24"/>
        </w:rPr>
        <w:tab/>
        <w:t>Information on the tax regime applicable to grant contracts signed under the call.</w:t>
      </w:r>
    </w:p>
    <w:p w:rsidR="00211B8D" w:rsidRPr="00875208" w:rsidRDefault="00600738" w:rsidP="00600738">
      <w:pPr>
        <w:tabs>
          <w:tab w:val="left" w:pos="1134"/>
        </w:tabs>
        <w:ind w:left="1134" w:hanging="1134"/>
        <w:jc w:val="left"/>
        <w:rPr>
          <w:sz w:val="24"/>
          <w:szCs w:val="24"/>
        </w:rPr>
      </w:pPr>
      <w:r w:rsidRPr="00875208">
        <w:rPr>
          <w:sz w:val="24"/>
          <w:szCs w:val="24"/>
        </w:rPr>
        <w:t>Annex K:</w:t>
      </w:r>
      <w:r w:rsidRPr="00875208">
        <w:rPr>
          <w:sz w:val="24"/>
          <w:szCs w:val="24"/>
        </w:rPr>
        <w:tab/>
      </w:r>
      <w:r w:rsidR="00211B8D" w:rsidRPr="00875208">
        <w:rPr>
          <w:sz w:val="24"/>
          <w:szCs w:val="24"/>
        </w:rPr>
        <w:t>G</w:t>
      </w:r>
      <w:r w:rsidRPr="00875208">
        <w:rPr>
          <w:sz w:val="24"/>
          <w:szCs w:val="24"/>
        </w:rPr>
        <w:t>uidelines and Checklist for assessing</w:t>
      </w:r>
      <w:r w:rsidR="00211B8D" w:rsidRPr="00875208">
        <w:rPr>
          <w:sz w:val="24"/>
          <w:szCs w:val="24"/>
        </w:rPr>
        <w:t xml:space="preserve"> B</w:t>
      </w:r>
      <w:r w:rsidRPr="00875208">
        <w:rPr>
          <w:sz w:val="24"/>
          <w:szCs w:val="24"/>
        </w:rPr>
        <w:t>udget and Simplified cost options</w:t>
      </w:r>
      <w:r w:rsidR="00211B8D" w:rsidRPr="00875208">
        <w:rPr>
          <w:sz w:val="24"/>
          <w:szCs w:val="24"/>
        </w:rPr>
        <w:t>.</w:t>
      </w:r>
    </w:p>
    <w:p w:rsidR="006F4ACD" w:rsidRPr="00875208" w:rsidRDefault="006F4ACD" w:rsidP="002D4ACD">
      <w:pPr>
        <w:spacing w:before="240"/>
        <w:jc w:val="left"/>
        <w:rPr>
          <w:b/>
          <w:sz w:val="24"/>
          <w:szCs w:val="24"/>
        </w:rPr>
      </w:pPr>
      <w:bookmarkStart w:id="56" w:name="_Toc216513984"/>
      <w:bookmarkEnd w:id="55"/>
      <w:r w:rsidRPr="00875208">
        <w:rPr>
          <w:b/>
          <w:sz w:val="24"/>
          <w:szCs w:val="24"/>
        </w:rPr>
        <w:t>Useful links:</w:t>
      </w:r>
    </w:p>
    <w:p w:rsidR="00345514" w:rsidRPr="00875208" w:rsidRDefault="00345514" w:rsidP="00600738">
      <w:pPr>
        <w:jc w:val="left"/>
        <w:rPr>
          <w:b/>
          <w:sz w:val="24"/>
          <w:szCs w:val="24"/>
        </w:rPr>
      </w:pPr>
      <w:r w:rsidRPr="00875208">
        <w:rPr>
          <w:b/>
          <w:sz w:val="24"/>
          <w:szCs w:val="24"/>
        </w:rPr>
        <w:t>Project Cycle Management Guidelines</w:t>
      </w:r>
      <w:bookmarkEnd w:id="56"/>
    </w:p>
    <w:p w:rsidR="00ED7E20" w:rsidRPr="00ED7E20" w:rsidRDefault="00B47AB1" w:rsidP="002D4ACD">
      <w:pPr>
        <w:spacing w:before="240"/>
        <w:jc w:val="left"/>
        <w:rPr>
          <w:sz w:val="24"/>
          <w:szCs w:val="24"/>
        </w:rPr>
      </w:pPr>
      <w:hyperlink r:id="rId23" w:history="1">
        <w:r w:rsidR="00ED7E20" w:rsidRPr="00ED7E20">
          <w:rPr>
            <w:rStyle w:val="Hyperlink"/>
            <w:sz w:val="24"/>
            <w:szCs w:val="24"/>
          </w:rPr>
          <w:t>http://ec.europa.eu/europeaid/sites/devco/files/methodology-aid-delivery-methods-project-cycle-management-200403_en_2.pdf</w:t>
        </w:r>
      </w:hyperlink>
    </w:p>
    <w:p w:rsidR="00BB518F" w:rsidRPr="00875208" w:rsidRDefault="00BB518F" w:rsidP="002D4ACD">
      <w:pPr>
        <w:spacing w:before="240"/>
        <w:jc w:val="left"/>
        <w:rPr>
          <w:b/>
          <w:sz w:val="24"/>
          <w:szCs w:val="24"/>
        </w:rPr>
      </w:pPr>
      <w:r w:rsidRPr="00875208">
        <w:rPr>
          <w:b/>
          <w:sz w:val="24"/>
          <w:szCs w:val="24"/>
        </w:rPr>
        <w:t>The implementation of grant contracts - A Users' Guide</w:t>
      </w:r>
    </w:p>
    <w:p w:rsidR="002573AC" w:rsidRPr="00875208" w:rsidRDefault="00B47AB1" w:rsidP="00600738">
      <w:pPr>
        <w:jc w:val="left"/>
        <w:rPr>
          <w:b/>
          <w:sz w:val="24"/>
          <w:szCs w:val="24"/>
        </w:rPr>
      </w:pPr>
      <w:hyperlink r:id="rId24" w:history="1">
        <w:r w:rsidR="002573AC" w:rsidRPr="00875208">
          <w:rPr>
            <w:rStyle w:val="Hyperlink"/>
            <w:color w:val="auto"/>
            <w:sz w:val="24"/>
            <w:szCs w:val="24"/>
          </w:rPr>
          <w:t>http://ec.europa.eu/europeaid/companion/document.do?chapterId=497</w:t>
        </w:r>
      </w:hyperlink>
    </w:p>
    <w:p w:rsidR="00ED7E20" w:rsidRDefault="001E10DA" w:rsidP="00ED7E20">
      <w:pPr>
        <w:jc w:val="left"/>
        <w:rPr>
          <w:b/>
          <w:sz w:val="24"/>
          <w:szCs w:val="24"/>
          <w:lang w:val="pt-PT"/>
        </w:rPr>
      </w:pPr>
      <w:r w:rsidRPr="00875208">
        <w:rPr>
          <w:b/>
          <w:sz w:val="24"/>
          <w:szCs w:val="24"/>
          <w:lang w:val="pt-PT"/>
        </w:rPr>
        <w:t>Financial Toolkit</w:t>
      </w:r>
      <w:r w:rsidR="0061182F" w:rsidRPr="00875208">
        <w:rPr>
          <w:b/>
          <w:sz w:val="24"/>
          <w:szCs w:val="24"/>
          <w:lang w:val="pt-PT"/>
        </w:rPr>
        <w:tab/>
      </w:r>
    </w:p>
    <w:p w:rsidR="005D7AF3" w:rsidRPr="00655373" w:rsidRDefault="00B47AB1" w:rsidP="007E4EE8">
      <w:pPr>
        <w:jc w:val="left"/>
        <w:rPr>
          <w:sz w:val="24"/>
          <w:szCs w:val="24"/>
        </w:rPr>
      </w:pPr>
      <w:hyperlink r:id="rId25" w:history="1">
        <w:r w:rsidR="00ED7E20" w:rsidRPr="00ED7E20">
          <w:rPr>
            <w:rStyle w:val="Hyperlink"/>
            <w:sz w:val="24"/>
            <w:szCs w:val="24"/>
          </w:rPr>
          <w:t>https://ec.europa.eu/europeaid/funding/procedures-beneficiary-countries-and-partners/financial-management-toolkit_en</w:t>
        </w:r>
      </w:hyperlink>
      <w:r w:rsidR="00ED7E20" w:rsidRPr="00ED7E20">
        <w:rPr>
          <w:sz w:val="24"/>
          <w:szCs w:val="24"/>
        </w:rPr>
        <w:t xml:space="preserve"> </w:t>
      </w:r>
    </w:p>
    <w:sectPr w:rsidR="005D7AF3" w:rsidRPr="00655373" w:rsidSect="002D4ACD">
      <w:footerReference w:type="first" r:id="rId26"/>
      <w:pgSz w:w="11906" w:h="16838" w:code="9"/>
      <w:pgMar w:top="1021" w:right="1134" w:bottom="1021" w:left="1134" w:header="567" w:footer="5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B1" w:rsidRDefault="00B47AB1">
      <w:r>
        <w:separator/>
      </w:r>
    </w:p>
    <w:p w:rsidR="00B47AB1" w:rsidRDefault="00B47AB1"/>
  </w:endnote>
  <w:endnote w:type="continuationSeparator" w:id="0">
    <w:p w:rsidR="00B47AB1" w:rsidRDefault="00B47AB1">
      <w:r>
        <w:continuationSeparator/>
      </w:r>
    </w:p>
    <w:p w:rsidR="00B47AB1" w:rsidRDefault="00B47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6" w:rsidRDefault="00D40076" w:rsidP="00D91211">
    <w:pPr>
      <w:pStyle w:val="Footer"/>
      <w:tabs>
        <w:tab w:val="right" w:pos="9639"/>
      </w:tabs>
      <w:spacing w:after="0"/>
      <w:rPr>
        <w:rFonts w:ascii="Times New Roman" w:hAnsi="Times New Roman"/>
        <w:sz w:val="18"/>
        <w:szCs w:val="18"/>
      </w:rPr>
    </w:pPr>
    <w:r>
      <w:rPr>
        <w:rFonts w:ascii="Times New Roman" w:hAnsi="Times New Roman"/>
        <w:b/>
        <w:sz w:val="20"/>
      </w:rPr>
      <w:t>2014</w:t>
    </w:r>
    <w:r w:rsidRPr="00A016F9">
      <w:rPr>
        <w:rFonts w:ascii="Times New Roman" w:hAnsi="Times New Roman"/>
        <w:sz w:val="18"/>
        <w:szCs w:val="18"/>
      </w:rPr>
      <w:tab/>
    </w:r>
  </w:p>
  <w:p w:rsidR="00D40076" w:rsidRPr="00491F8A" w:rsidRDefault="00D40076" w:rsidP="00D91211">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961B29">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p>
  <w:p w:rsidR="00D40076" w:rsidRPr="00651F2A" w:rsidRDefault="00D40076" w:rsidP="00491F8A">
    <w:pPr>
      <w:pStyle w:val="Footer"/>
      <w:tabs>
        <w:tab w:val="right" w:pos="9639"/>
      </w:tabs>
      <w:spacing w:after="0"/>
      <w:rPr>
        <w:rFonts w:ascii="Times New Roman" w:hAnsi="Times New Roman"/>
        <w:sz w:val="18"/>
        <w:szCs w:val="18"/>
      </w:rPr>
    </w:pPr>
    <w:r w:rsidRPr="00651F2A">
      <w:rPr>
        <w:rFonts w:ascii="Times New Roman" w:hAnsi="Times New Roman"/>
        <w:sz w:val="18"/>
        <w:szCs w:val="18"/>
      </w:rPr>
      <w:tab/>
      <w:t xml:space="preserve">Page </w:t>
    </w:r>
    <w:r w:rsidRPr="00651F2A">
      <w:rPr>
        <w:rFonts w:ascii="Times New Roman" w:hAnsi="Times New Roman"/>
        <w:sz w:val="18"/>
        <w:szCs w:val="18"/>
      </w:rPr>
      <w:fldChar w:fldCharType="begin"/>
    </w:r>
    <w:r w:rsidRPr="00651F2A">
      <w:rPr>
        <w:rFonts w:ascii="Times New Roman" w:hAnsi="Times New Roman"/>
        <w:sz w:val="18"/>
        <w:szCs w:val="18"/>
      </w:rPr>
      <w:instrText xml:space="preserve"> PAGE   \* MERGEFORMAT </w:instrText>
    </w:r>
    <w:r w:rsidRPr="00651F2A">
      <w:rPr>
        <w:rFonts w:ascii="Times New Roman" w:hAnsi="Times New Roman"/>
        <w:sz w:val="18"/>
        <w:szCs w:val="18"/>
      </w:rPr>
      <w:fldChar w:fldCharType="separate"/>
    </w:r>
    <w:r w:rsidR="00480B8F">
      <w:rPr>
        <w:rFonts w:ascii="Times New Roman" w:hAnsi="Times New Roman"/>
        <w:noProof/>
        <w:sz w:val="18"/>
        <w:szCs w:val="18"/>
      </w:rPr>
      <w:t>21</w:t>
    </w:r>
    <w:r w:rsidRPr="00651F2A">
      <w:rPr>
        <w:rFonts w:ascii="Times New Roman" w:hAnsi="Times New Roman"/>
        <w:sz w:val="18"/>
        <w:szCs w:val="18"/>
      </w:rPr>
      <w:fldChar w:fldCharType="end"/>
    </w:r>
    <w:r w:rsidRPr="00651F2A">
      <w:rPr>
        <w:rFonts w:ascii="Times New Roman" w:hAnsi="Times New Roman"/>
        <w:sz w:val="18"/>
        <w:szCs w:val="18"/>
      </w:rPr>
      <w:t xml:space="preserve"> of </w:t>
    </w:r>
    <w:r w:rsidR="00B47AB1">
      <w:fldChar w:fldCharType="begin"/>
    </w:r>
    <w:r w:rsidR="00B47AB1">
      <w:instrText xml:space="preserve"> NUMPAGES   \* MERGEFORMAT </w:instrText>
    </w:r>
    <w:r w:rsidR="00B47AB1">
      <w:fldChar w:fldCharType="separate"/>
    </w:r>
    <w:r w:rsidR="00480B8F" w:rsidRPr="00480B8F">
      <w:rPr>
        <w:rFonts w:ascii="Times New Roman" w:hAnsi="Times New Roman"/>
        <w:noProof/>
        <w:sz w:val="18"/>
        <w:szCs w:val="18"/>
      </w:rPr>
      <w:t>31</w:t>
    </w:r>
    <w:r w:rsidR="00B47AB1">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6" w:rsidRDefault="00D40076" w:rsidP="00D91211">
    <w:pPr>
      <w:pStyle w:val="Footer"/>
      <w:tabs>
        <w:tab w:val="right" w:pos="9639"/>
      </w:tabs>
      <w:spacing w:after="0"/>
      <w:rPr>
        <w:rFonts w:ascii="Times New Roman" w:hAnsi="Times New Roman"/>
        <w:sz w:val="18"/>
        <w:szCs w:val="18"/>
      </w:rPr>
    </w:pPr>
    <w:r>
      <w:rPr>
        <w:rFonts w:ascii="Times New Roman" w:hAnsi="Times New Roman"/>
        <w:b/>
        <w:sz w:val="20"/>
      </w:rPr>
      <w:t>2014</w:t>
    </w:r>
    <w:r w:rsidRPr="00A016F9">
      <w:rPr>
        <w:rFonts w:ascii="Times New Roman" w:hAnsi="Times New Roman"/>
        <w:sz w:val="18"/>
        <w:szCs w:val="18"/>
      </w:rPr>
      <w:tab/>
    </w:r>
  </w:p>
  <w:p w:rsidR="00D40076" w:rsidRPr="00491F8A" w:rsidRDefault="00D40076" w:rsidP="00D91211">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961B29">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r>
      <w:rPr>
        <w:rStyle w:val="PageNumber"/>
        <w:rFonts w:ascii="Times New Roman" w:hAnsi="Times New Roman"/>
        <w:sz w:val="18"/>
        <w:szCs w:val="18"/>
      </w:rPr>
      <w:t xml:space="preserve"> European Progress</w:t>
    </w:r>
  </w:p>
  <w:p w:rsidR="00D40076" w:rsidRPr="00D91211" w:rsidRDefault="00D40076" w:rsidP="00D91211">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6" w:rsidRDefault="00D40076" w:rsidP="00D91211">
    <w:pPr>
      <w:pStyle w:val="Footer"/>
      <w:tabs>
        <w:tab w:val="right" w:pos="9639"/>
      </w:tabs>
      <w:spacing w:after="0"/>
      <w:rPr>
        <w:rFonts w:ascii="Times New Roman" w:hAnsi="Times New Roman"/>
        <w:sz w:val="18"/>
        <w:szCs w:val="18"/>
      </w:rPr>
    </w:pPr>
    <w:r>
      <w:rPr>
        <w:rFonts w:ascii="Times New Roman" w:hAnsi="Times New Roman"/>
        <w:b/>
        <w:sz w:val="20"/>
      </w:rPr>
      <w:t>2014</w:t>
    </w:r>
    <w:r w:rsidRPr="00A016F9">
      <w:rPr>
        <w:rFonts w:ascii="Times New Roman" w:hAnsi="Times New Roman"/>
        <w:sz w:val="18"/>
        <w:szCs w:val="18"/>
      </w:rPr>
      <w:tab/>
    </w:r>
  </w:p>
  <w:p w:rsidR="00D40076" w:rsidRDefault="00D40076"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961B29">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r>
      <w:rPr>
        <w:rFonts w:ascii="Times New Roman" w:hAnsi="Times New Roman"/>
        <w:sz w:val="18"/>
        <w:szCs w:val="18"/>
      </w:rPr>
      <w:t xml:space="preserve"> </w:t>
    </w:r>
    <w:r w:rsidRPr="00F00013">
      <w:rPr>
        <w:rFonts w:ascii="Times New Roman" w:hAnsi="Times New Roman"/>
        <w:sz w:val="18"/>
        <w:szCs w:val="18"/>
      </w:rPr>
      <w:t>European Progre</w:t>
    </w:r>
    <w:r>
      <w:rPr>
        <w:rFonts w:ascii="Times New Roman" w:hAnsi="Times New Roman"/>
        <w:sz w:val="18"/>
        <w:szCs w:val="18"/>
      </w:rPr>
      <w:t>s</w:t>
    </w:r>
    <w:r w:rsidRPr="00F00013">
      <w:rPr>
        <w:rFonts w:ascii="Times New Roman" w:hAnsi="Times New Roman"/>
        <w:sz w:val="18"/>
        <w:szCs w:val="18"/>
      </w:rPr>
      <w:t>s</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480B8F">
      <w:rPr>
        <w:rFonts w:ascii="Times New Roman" w:hAnsi="Times New Roman"/>
        <w:noProof/>
        <w:sz w:val="18"/>
        <w:szCs w:val="18"/>
      </w:rPr>
      <w:t>2</w:t>
    </w:r>
    <w:r>
      <w:rPr>
        <w:rFonts w:ascii="Times New Roman" w:hAnsi="Times New Roman"/>
        <w:sz w:val="18"/>
        <w:szCs w:val="18"/>
      </w:rPr>
      <w:fldChar w:fldCharType="end"/>
    </w:r>
    <w:r w:rsidRPr="00A016F9">
      <w:rPr>
        <w:rFonts w:ascii="Times New Roman" w:hAnsi="Times New Roman"/>
        <w:sz w:val="18"/>
        <w:szCs w:val="18"/>
      </w:rPr>
      <w:t xml:space="preserve"> of </w:t>
    </w:r>
    <w:r w:rsidR="00B47AB1">
      <w:fldChar w:fldCharType="begin"/>
    </w:r>
    <w:r w:rsidR="00B47AB1">
      <w:instrText xml:space="preserve"> NUMPAGES   \* MERGEFORMAT </w:instrText>
    </w:r>
    <w:r w:rsidR="00B47AB1">
      <w:fldChar w:fldCharType="separate"/>
    </w:r>
    <w:r w:rsidR="00480B8F" w:rsidRPr="00480B8F">
      <w:rPr>
        <w:rFonts w:ascii="Times New Roman" w:hAnsi="Times New Roman"/>
        <w:noProof/>
        <w:sz w:val="18"/>
        <w:szCs w:val="18"/>
      </w:rPr>
      <w:t>31</w:t>
    </w:r>
    <w:r w:rsidR="00B47AB1">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B1" w:rsidRDefault="00B47AB1">
      <w:r>
        <w:separator/>
      </w:r>
    </w:p>
  </w:footnote>
  <w:footnote w:type="continuationSeparator" w:id="0">
    <w:p w:rsidR="00B47AB1" w:rsidRDefault="00B47AB1">
      <w:r>
        <w:continuationSeparator/>
      </w:r>
    </w:p>
  </w:footnote>
  <w:footnote w:type="continuationNotice" w:id="1">
    <w:p w:rsidR="00B47AB1" w:rsidRPr="004D357E" w:rsidRDefault="00B47AB1" w:rsidP="004D357E">
      <w:pPr>
        <w:pStyle w:val="Footer"/>
      </w:pPr>
    </w:p>
  </w:footnote>
  <w:footnote w:id="2">
    <w:p w:rsidR="00D40076" w:rsidRPr="00013FDD" w:rsidRDefault="00D40076">
      <w:pPr>
        <w:pStyle w:val="FootnoteText"/>
        <w:rPr>
          <w:lang w:val="en-US"/>
        </w:rPr>
      </w:pPr>
      <w:r>
        <w:rPr>
          <w:rStyle w:val="FootnoteReference"/>
        </w:rPr>
        <w:footnoteRef/>
      </w:r>
      <w:r>
        <w:t xml:space="preserve"> </w:t>
      </w:r>
      <w:r>
        <w:rPr>
          <w:lang w:val="en-US"/>
        </w:rPr>
        <w:t>For detailed information on five good governance principles please check page 13,</w:t>
      </w:r>
      <w:r w:rsidRPr="00D803A2">
        <w:rPr>
          <w:lang w:val="en-US"/>
        </w:rPr>
        <w:t xml:space="preserve"> </w:t>
      </w:r>
      <w:r>
        <w:rPr>
          <w:lang w:val="en-US"/>
        </w:rPr>
        <w:t xml:space="preserve">under paragraph </w:t>
      </w:r>
      <w:r w:rsidRPr="006076D7">
        <w:rPr>
          <w:i/>
          <w:lang w:val="en-US"/>
        </w:rPr>
        <w:t>Sectors or themes</w:t>
      </w:r>
      <w:r>
        <w:rPr>
          <w:lang w:val="en-US"/>
        </w:rPr>
        <w:t>.</w:t>
      </w:r>
    </w:p>
  </w:footnote>
  <w:footnote w:id="3">
    <w:p w:rsidR="00D40076" w:rsidRPr="00BE384E" w:rsidRDefault="00D40076" w:rsidP="003D1261">
      <w:pPr>
        <w:pStyle w:val="FootnoteText"/>
        <w:ind w:left="91" w:hanging="91"/>
        <w:rPr>
          <w:sz w:val="18"/>
          <w:szCs w:val="18"/>
        </w:rPr>
      </w:pPr>
      <w:r>
        <w:rPr>
          <w:rStyle w:val="FootnoteReference"/>
        </w:rPr>
        <w:footnoteRef/>
      </w:r>
      <w:r>
        <w:t xml:space="preserve"> </w:t>
      </w:r>
      <w:r w:rsidRPr="00BE384E">
        <w:rPr>
          <w:sz w:val="18"/>
          <w:szCs w:val="18"/>
        </w:rPr>
        <w:t>Municipalities bordering A</w:t>
      </w:r>
      <w:r>
        <w:rPr>
          <w:sz w:val="18"/>
          <w:szCs w:val="18"/>
        </w:rPr>
        <w:t>o</w:t>
      </w:r>
      <w:r w:rsidRPr="00BE384E">
        <w:rPr>
          <w:sz w:val="18"/>
          <w:szCs w:val="18"/>
        </w:rPr>
        <w:t>R</w:t>
      </w:r>
      <w:r>
        <w:rPr>
          <w:sz w:val="18"/>
          <w:szCs w:val="18"/>
        </w:rPr>
        <w:t xml:space="preserve"> (Area of Responsibility)</w:t>
      </w:r>
      <w:r w:rsidRPr="00BE384E">
        <w:rPr>
          <w:sz w:val="18"/>
          <w:szCs w:val="18"/>
        </w:rPr>
        <w:t xml:space="preserve"> are within the first and second developmental group and for this reason they are not included in the programme.</w:t>
      </w:r>
    </w:p>
    <w:p w:rsidR="00D40076" w:rsidRPr="003D1261" w:rsidRDefault="00D40076">
      <w:pPr>
        <w:pStyle w:val="FootnoteText"/>
        <w:rPr>
          <w:lang w:val="en-US"/>
        </w:rPr>
      </w:pPr>
    </w:p>
  </w:footnote>
  <w:footnote w:id="4">
    <w:p w:rsidR="00D40076" w:rsidRPr="00427B6B" w:rsidRDefault="00D40076" w:rsidP="00427B6B">
      <w:pPr>
        <w:pStyle w:val="FootnoteText"/>
        <w:ind w:left="180" w:hanging="180"/>
        <w:rPr>
          <w:lang w:val="en-US"/>
        </w:rPr>
      </w:pPr>
      <w:r>
        <w:rPr>
          <w:rStyle w:val="FootnoteReference"/>
        </w:rPr>
        <w:footnoteRef/>
      </w:r>
      <w:r>
        <w:t xml:space="preserve"> </w:t>
      </w:r>
      <w:r w:rsidRPr="00BE384E">
        <w:rPr>
          <w:sz w:val="18"/>
          <w:szCs w:val="18"/>
          <w:lang w:val="en-US"/>
        </w:rPr>
        <w:t xml:space="preserve">Doing business (2014) </w:t>
      </w:r>
      <w:r w:rsidRPr="00BE384E">
        <w:rPr>
          <w:i/>
          <w:sz w:val="18"/>
          <w:szCs w:val="18"/>
          <w:lang w:val="en-US"/>
        </w:rPr>
        <w:t>Doing Business 2014 Understanding Regulations for Small and Medium Sized Enterprises</w:t>
      </w:r>
      <w:r>
        <w:rPr>
          <w:sz w:val="18"/>
          <w:szCs w:val="18"/>
          <w:lang w:val="en-US"/>
        </w:rPr>
        <w:t xml:space="preserve"> [Online] </w:t>
      </w:r>
      <w:r w:rsidRPr="00BE384E">
        <w:rPr>
          <w:sz w:val="18"/>
          <w:szCs w:val="18"/>
          <w:lang w:val="en-US"/>
        </w:rPr>
        <w:t xml:space="preserve">Available at: </w:t>
      </w:r>
      <w:hyperlink r:id="rId1" w:history="1">
        <w:r w:rsidRPr="00BE384E">
          <w:rPr>
            <w:rStyle w:val="Hyperlink"/>
            <w:sz w:val="18"/>
            <w:szCs w:val="18"/>
            <w:lang w:val="en-US"/>
          </w:rPr>
          <w:t>http://www.doingbusiness.org/~/media/GIAWB/Doing%20Business/Documents/Annual-Reports/English/DB14-Full-Report.pdf</w:t>
        </w:r>
      </w:hyperlink>
      <w:r>
        <w:rPr>
          <w:sz w:val="18"/>
          <w:szCs w:val="18"/>
          <w:lang w:val="en-US"/>
        </w:rPr>
        <w:t xml:space="preserve"> (Accessed on 30 January 2014)</w:t>
      </w:r>
    </w:p>
  </w:footnote>
  <w:footnote w:id="5">
    <w:p w:rsidR="00D40076" w:rsidRPr="00294490" w:rsidRDefault="00D40076" w:rsidP="00294490">
      <w:pPr>
        <w:pStyle w:val="FootnoteText"/>
        <w:ind w:left="180" w:hanging="180"/>
        <w:jc w:val="left"/>
        <w:rPr>
          <w:sz w:val="18"/>
          <w:szCs w:val="18"/>
          <w:lang w:val="en-US"/>
        </w:rPr>
      </w:pPr>
      <w:r>
        <w:rPr>
          <w:rStyle w:val="FootnoteReference"/>
        </w:rPr>
        <w:footnoteRef/>
      </w:r>
      <w:r>
        <w:t xml:space="preserve">  </w:t>
      </w:r>
      <w:r w:rsidRPr="00BE384E">
        <w:rPr>
          <w:sz w:val="18"/>
          <w:szCs w:val="18"/>
          <w:lang w:val="en-US"/>
        </w:rPr>
        <w:t xml:space="preserve">World Economic Forum (2013) </w:t>
      </w:r>
      <w:r w:rsidRPr="00BE384E">
        <w:rPr>
          <w:i/>
          <w:sz w:val="18"/>
          <w:szCs w:val="18"/>
          <w:lang w:val="en-US"/>
        </w:rPr>
        <w:t>The Global Competitiveness Ranking</w:t>
      </w:r>
      <w:r w:rsidRPr="00BE384E">
        <w:rPr>
          <w:sz w:val="18"/>
          <w:szCs w:val="18"/>
          <w:lang w:val="en-US"/>
        </w:rPr>
        <w:t xml:space="preserve"> [Online] Available at: </w:t>
      </w:r>
      <w:r>
        <w:rPr>
          <w:sz w:val="18"/>
          <w:szCs w:val="18"/>
          <w:lang w:val="en-US"/>
        </w:rPr>
        <w:t xml:space="preserve"> </w:t>
      </w:r>
      <w:hyperlink r:id="rId2" w:history="1">
        <w:r w:rsidRPr="00BE384E">
          <w:rPr>
            <w:rStyle w:val="Hyperlink"/>
            <w:sz w:val="18"/>
            <w:szCs w:val="18"/>
            <w:lang w:val="en-US"/>
          </w:rPr>
          <w:t>http://www3.weforum.org/docs/GCR2013-14/GCR_Rankings_2013-14.pdf</w:t>
        </w:r>
      </w:hyperlink>
      <w:r w:rsidRPr="00BE384E">
        <w:rPr>
          <w:sz w:val="18"/>
          <w:szCs w:val="18"/>
          <w:lang w:val="en-US"/>
        </w:rPr>
        <w:t xml:space="preserve"> (Accessed on 20 September 2013)</w:t>
      </w:r>
    </w:p>
  </w:footnote>
  <w:footnote w:id="6">
    <w:p w:rsidR="00D40076" w:rsidRPr="00294490" w:rsidRDefault="00D40076" w:rsidP="0099287E">
      <w:pPr>
        <w:pStyle w:val="FootnoteText"/>
        <w:ind w:left="180" w:hanging="180"/>
        <w:rPr>
          <w:sz w:val="18"/>
          <w:szCs w:val="18"/>
        </w:rPr>
      </w:pPr>
      <w:r>
        <w:rPr>
          <w:rStyle w:val="FootnoteReference"/>
        </w:rPr>
        <w:footnoteRef/>
      </w:r>
      <w:r>
        <w:t xml:space="preserve">  </w:t>
      </w:r>
      <w:r w:rsidRPr="00BE384E">
        <w:rPr>
          <w:sz w:val="18"/>
          <w:szCs w:val="18"/>
        </w:rPr>
        <w:t xml:space="preserve">Out of 14,925 enterprises in the South Serbia, 99% are micro (up to ten employees) and small enterprises (up to 50 employees). In addition there are 12,017 sole traders, the </w:t>
      </w:r>
      <w:r w:rsidRPr="00BE384E">
        <w:rPr>
          <w:bCs/>
          <w:sz w:val="18"/>
          <w:szCs w:val="18"/>
        </w:rPr>
        <w:t>Ministry of Finance according to the data from Republic Statistics Office (RSO), 2011</w:t>
      </w:r>
    </w:p>
  </w:footnote>
  <w:footnote w:id="7">
    <w:p w:rsidR="00D40076" w:rsidRPr="00294490" w:rsidRDefault="00D40076" w:rsidP="00294490">
      <w:pPr>
        <w:pStyle w:val="FootnoteText"/>
        <w:rPr>
          <w:sz w:val="18"/>
          <w:szCs w:val="18"/>
        </w:rPr>
      </w:pPr>
      <w:r>
        <w:rPr>
          <w:rStyle w:val="FootnoteReference"/>
        </w:rPr>
        <w:footnoteRef/>
      </w:r>
      <w:r>
        <w:t xml:space="preserve">  </w:t>
      </w:r>
      <w:r w:rsidRPr="00BE384E">
        <w:rPr>
          <w:sz w:val="18"/>
          <w:szCs w:val="18"/>
        </w:rPr>
        <w:t xml:space="preserve">The </w:t>
      </w:r>
      <w:r w:rsidRPr="00BE384E">
        <w:rPr>
          <w:bCs/>
          <w:sz w:val="18"/>
          <w:szCs w:val="18"/>
        </w:rPr>
        <w:t>Ministry of Finance according to the data from the RSO, 2011</w:t>
      </w:r>
    </w:p>
  </w:footnote>
  <w:footnote w:id="8">
    <w:p w:rsidR="00D40076" w:rsidRPr="00294490" w:rsidRDefault="00D40076">
      <w:pPr>
        <w:pStyle w:val="FootnoteText"/>
        <w:rPr>
          <w:lang w:val="en-US"/>
        </w:rPr>
      </w:pPr>
      <w:r>
        <w:rPr>
          <w:rStyle w:val="FootnoteReference"/>
        </w:rPr>
        <w:footnoteRef/>
      </w:r>
      <w:r>
        <w:t xml:space="preserve">  </w:t>
      </w:r>
      <w:r w:rsidRPr="00BE384E">
        <w:rPr>
          <w:sz w:val="18"/>
          <w:szCs w:val="18"/>
          <w:lang w:val="en-US"/>
        </w:rPr>
        <w:t>Women and Men in the Republic of Serbia, NSO, 2011</w:t>
      </w:r>
    </w:p>
  </w:footnote>
  <w:footnote w:id="9">
    <w:p w:rsidR="00D40076" w:rsidRPr="00294490" w:rsidRDefault="00D40076">
      <w:pPr>
        <w:pStyle w:val="FootnoteText"/>
        <w:rPr>
          <w:lang w:val="en-US"/>
        </w:rPr>
      </w:pPr>
      <w:r>
        <w:rPr>
          <w:rStyle w:val="FootnoteReference"/>
        </w:rPr>
        <w:footnoteRef/>
      </w:r>
      <w:r>
        <w:t xml:space="preserve">  </w:t>
      </w:r>
      <w:r w:rsidRPr="00BE384E">
        <w:rPr>
          <w:sz w:val="18"/>
          <w:szCs w:val="18"/>
        </w:rPr>
        <w:t>Annual Report Municipalities in Serbia, Statistical Office of Republic of Serbia, May 2011</w:t>
      </w:r>
    </w:p>
  </w:footnote>
  <w:footnote w:id="10">
    <w:p w:rsidR="00D40076" w:rsidRPr="00294490" w:rsidRDefault="00D40076" w:rsidP="00294490">
      <w:pPr>
        <w:pStyle w:val="FootnoteText"/>
        <w:ind w:left="180" w:hanging="180"/>
        <w:rPr>
          <w:sz w:val="18"/>
          <w:szCs w:val="18"/>
        </w:rPr>
      </w:pPr>
      <w:r>
        <w:rPr>
          <w:rStyle w:val="FootnoteReference"/>
        </w:rPr>
        <w:footnoteRef/>
      </w:r>
      <w:r>
        <w:t xml:space="preserve"> </w:t>
      </w:r>
      <w:r w:rsidRPr="00BE384E">
        <w:rPr>
          <w:sz w:val="18"/>
          <w:szCs w:val="18"/>
        </w:rPr>
        <w:t xml:space="preserve">European Policy Centre (2013) </w:t>
      </w:r>
      <w:r w:rsidRPr="00BE384E">
        <w:rPr>
          <w:i/>
          <w:sz w:val="18"/>
          <w:szCs w:val="18"/>
        </w:rPr>
        <w:t>Pending Visa Reintroduction Possibility and Serbia’s EU integration</w:t>
      </w:r>
      <w:r w:rsidRPr="00BE384E">
        <w:rPr>
          <w:sz w:val="18"/>
          <w:szCs w:val="18"/>
        </w:rPr>
        <w:t xml:space="preserve"> [Online] Available at: </w:t>
      </w:r>
      <w:hyperlink r:id="rId3" w:history="1">
        <w:r w:rsidRPr="00BE384E">
          <w:rPr>
            <w:rStyle w:val="Hyperlink"/>
            <w:sz w:val="18"/>
            <w:szCs w:val="18"/>
          </w:rPr>
          <w:t>http://www.europeanpolicy.org/en/documentation-centre/articles-and-commentaries/320-pending-visa-reintroduction-possibility-and-serbia-s-eu-integration.html</w:t>
        </w:r>
      </w:hyperlink>
      <w:r w:rsidRPr="00BE384E">
        <w:rPr>
          <w:sz w:val="18"/>
          <w:szCs w:val="18"/>
        </w:rPr>
        <w:t xml:space="preserve"> (Accessed on 20 September 2013)</w:t>
      </w:r>
    </w:p>
  </w:footnote>
  <w:footnote w:id="11">
    <w:p w:rsidR="00D40076" w:rsidRPr="00294490" w:rsidRDefault="00D40076" w:rsidP="00294490">
      <w:pPr>
        <w:pStyle w:val="FootnoteText"/>
        <w:ind w:left="180" w:hanging="180"/>
        <w:jc w:val="left"/>
        <w:rPr>
          <w:lang w:val="en-US"/>
        </w:rPr>
      </w:pPr>
      <w:r>
        <w:rPr>
          <w:rStyle w:val="FootnoteReference"/>
        </w:rPr>
        <w:footnoteRef/>
      </w:r>
      <w:r>
        <w:t xml:space="preserve"> </w:t>
      </w:r>
      <w:r w:rsidRPr="00BE384E">
        <w:rPr>
          <w:sz w:val="18"/>
          <w:szCs w:val="18"/>
        </w:rPr>
        <w:t xml:space="preserve">B92 (2013) </w:t>
      </w:r>
      <w:r w:rsidRPr="00BE384E">
        <w:rPr>
          <w:i/>
          <w:sz w:val="18"/>
          <w:szCs w:val="18"/>
        </w:rPr>
        <w:t>Ekonomska</w:t>
      </w:r>
      <w:r>
        <w:rPr>
          <w:i/>
          <w:sz w:val="18"/>
          <w:szCs w:val="18"/>
        </w:rPr>
        <w:t xml:space="preserve"> </w:t>
      </w:r>
      <w:r w:rsidRPr="00BE384E">
        <w:rPr>
          <w:i/>
          <w:sz w:val="18"/>
          <w:szCs w:val="18"/>
        </w:rPr>
        <w:t>situacija</w:t>
      </w:r>
      <w:r>
        <w:rPr>
          <w:i/>
          <w:sz w:val="18"/>
          <w:szCs w:val="18"/>
        </w:rPr>
        <w:t xml:space="preserve"> </w:t>
      </w:r>
      <w:r w:rsidRPr="00BE384E">
        <w:rPr>
          <w:i/>
          <w:sz w:val="18"/>
          <w:szCs w:val="18"/>
        </w:rPr>
        <w:t>motiv</w:t>
      </w:r>
      <w:r>
        <w:rPr>
          <w:i/>
          <w:sz w:val="18"/>
          <w:szCs w:val="18"/>
        </w:rPr>
        <w:t xml:space="preserve"> </w:t>
      </w:r>
      <w:r w:rsidRPr="00BE384E">
        <w:rPr>
          <w:i/>
          <w:sz w:val="18"/>
          <w:szCs w:val="18"/>
        </w:rPr>
        <w:t>za</w:t>
      </w:r>
      <w:r>
        <w:rPr>
          <w:i/>
          <w:sz w:val="18"/>
          <w:szCs w:val="18"/>
        </w:rPr>
        <w:t xml:space="preserve"> </w:t>
      </w:r>
      <w:r w:rsidRPr="00BE384E">
        <w:rPr>
          <w:i/>
          <w:sz w:val="18"/>
          <w:szCs w:val="18"/>
        </w:rPr>
        <w:t>azil</w:t>
      </w:r>
      <w:r w:rsidRPr="00BE384E">
        <w:rPr>
          <w:sz w:val="18"/>
          <w:szCs w:val="18"/>
        </w:rPr>
        <w:t xml:space="preserve"> [Online] Available at: </w:t>
      </w:r>
      <w:r>
        <w:rPr>
          <w:sz w:val="18"/>
          <w:szCs w:val="18"/>
        </w:rPr>
        <w:t xml:space="preserve">  </w:t>
      </w:r>
      <w:hyperlink r:id="rId4" w:history="1">
        <w:r w:rsidRPr="00BE384E">
          <w:rPr>
            <w:rStyle w:val="Hyperlink"/>
            <w:sz w:val="18"/>
            <w:szCs w:val="18"/>
          </w:rPr>
          <w:t>http://www.b92.net/info/vesti/index.php?yyyy=2013&amp;mm=04&amp;dd=30&amp;nav_category=12&amp;nav_id=709880</w:t>
        </w:r>
      </w:hyperlink>
      <w:r w:rsidRPr="00BE384E">
        <w:rPr>
          <w:sz w:val="18"/>
          <w:szCs w:val="18"/>
        </w:rPr>
        <w:t xml:space="preserve"> (Accessed on 24 January 2014)</w:t>
      </w:r>
    </w:p>
  </w:footnote>
  <w:footnote w:id="12">
    <w:p w:rsidR="00D40076" w:rsidRPr="00294490" w:rsidRDefault="00D40076" w:rsidP="00CF1893">
      <w:pPr>
        <w:pStyle w:val="FootnoteText"/>
        <w:ind w:left="180" w:hanging="180"/>
        <w:jc w:val="left"/>
        <w:rPr>
          <w:sz w:val="18"/>
          <w:szCs w:val="18"/>
        </w:rPr>
      </w:pPr>
      <w:r>
        <w:rPr>
          <w:rStyle w:val="FootnoteReference"/>
        </w:rPr>
        <w:footnoteRef/>
      </w:r>
      <w:r>
        <w:t xml:space="preserve"> </w:t>
      </w:r>
      <w:r w:rsidRPr="00294490">
        <w:rPr>
          <w:sz w:val="18"/>
          <w:szCs w:val="18"/>
        </w:rPr>
        <w:t xml:space="preserve">Blic (2014) </w:t>
      </w:r>
      <w:r w:rsidRPr="00294490">
        <w:rPr>
          <w:i/>
          <w:sz w:val="18"/>
          <w:szCs w:val="18"/>
        </w:rPr>
        <w:t>Danas stupa na snagu mehanizam za privremeno uvođenje viza</w:t>
      </w:r>
      <w:r w:rsidRPr="00294490">
        <w:rPr>
          <w:sz w:val="18"/>
          <w:szCs w:val="18"/>
        </w:rPr>
        <w:t xml:space="preserve"> [Online] Available at: </w:t>
      </w:r>
      <w:hyperlink r:id="rId5" w:history="1">
        <w:r w:rsidRPr="00294490">
          <w:rPr>
            <w:color w:val="0000FF"/>
            <w:sz w:val="18"/>
            <w:szCs w:val="18"/>
            <w:u w:val="single"/>
          </w:rPr>
          <w:t>http://www.blic.rs/Vesti/Drustvo/433192/Danas-stupa-na-snagu-mehanizam-za-privremeno-uvodjenje-viza</w:t>
        </w:r>
      </w:hyperlink>
      <w:r w:rsidRPr="00294490">
        <w:rPr>
          <w:sz w:val="18"/>
          <w:szCs w:val="18"/>
        </w:rPr>
        <w:t xml:space="preserve"> (Accessed on 24 January 2014)</w:t>
      </w:r>
    </w:p>
    <w:p w:rsidR="00D40076" w:rsidRPr="00294490" w:rsidRDefault="00D40076">
      <w:pPr>
        <w:pStyle w:val="FootnoteText"/>
        <w:rPr>
          <w:lang w:val="en-US"/>
        </w:rPr>
      </w:pPr>
    </w:p>
  </w:footnote>
  <w:footnote w:id="13">
    <w:p w:rsidR="00D40076" w:rsidRPr="00A016F9" w:rsidRDefault="00D40076" w:rsidP="0040358C">
      <w:pPr>
        <w:pStyle w:val="FootnoteText"/>
      </w:pPr>
      <w:r w:rsidRPr="00A016F9">
        <w:footnoteRef/>
      </w:r>
      <w:r w:rsidRPr="00A016F9">
        <w:tab/>
        <w:t>Where a grant is financed by the European Development Fund, any mention of European Union financing must be understood as referring to European Development Fund financing.</w:t>
      </w:r>
    </w:p>
  </w:footnote>
  <w:footnote w:id="14">
    <w:p w:rsidR="00D40076" w:rsidRPr="00A016F9" w:rsidRDefault="00D40076" w:rsidP="00363B5A">
      <w:pPr>
        <w:pStyle w:val="FootnoteText"/>
      </w:pPr>
      <w:r w:rsidRPr="00A016F9">
        <w:footnoteRef/>
      </w:r>
      <w:r w:rsidRPr="00A016F9">
        <w:tab/>
      </w:r>
      <w:r>
        <w:t xml:space="preserve">To be </w:t>
      </w:r>
      <w:r w:rsidRPr="00A016F9">
        <w:t>determined on the basis of the organisation</w:t>
      </w:r>
      <w:r>
        <w:t>’</w:t>
      </w:r>
      <w:r w:rsidRPr="00A016F9">
        <w:t>s statutes</w:t>
      </w:r>
      <w:r>
        <w:t xml:space="preserve">, </w:t>
      </w:r>
      <w:r w:rsidRPr="00A016F9">
        <w:t>which should demonstrate that it has been established by an instrument governed by the national law of the country concerned</w:t>
      </w:r>
      <w:r>
        <w:t xml:space="preserve"> and that its head office is located in an eligible country</w:t>
      </w:r>
      <w:r w:rsidRPr="00A016F9">
        <w:t xml:space="preserve">. In this respect, any legal entity whose statutes have been established in another country cannot be considered an eligible local organisation, even if the statutes are registered locally or a </w:t>
      </w:r>
      <w:r>
        <w:t>‘</w:t>
      </w:r>
      <w:r w:rsidRPr="00A016F9">
        <w:t>Memorandum of Understanding</w:t>
      </w:r>
      <w:r>
        <w:t>’</w:t>
      </w:r>
      <w:r w:rsidRPr="00A016F9">
        <w:t xml:space="preserve"> has been concluded. </w:t>
      </w:r>
    </w:p>
  </w:footnote>
  <w:footnote w:id="15">
    <w:p w:rsidR="00D40076" w:rsidRPr="00370984" w:rsidRDefault="00D40076">
      <w:pPr>
        <w:pStyle w:val="FootnoteText"/>
        <w:rPr>
          <w:lang w:val="en-US"/>
        </w:rPr>
      </w:pPr>
      <w:r>
        <w:rPr>
          <w:rStyle w:val="FootnoteReference"/>
        </w:rPr>
        <w:footnoteRef/>
      </w:r>
      <w:r>
        <w:t xml:space="preserve">  </w:t>
      </w:r>
      <w:r>
        <w:rPr>
          <w:lang w:val="en-US"/>
        </w:rPr>
        <w:t>Please refer to PRAG Annex A2b2.</w:t>
      </w:r>
    </w:p>
  </w:footnote>
  <w:footnote w:id="16">
    <w:p w:rsidR="00D40076" w:rsidRPr="00370805" w:rsidRDefault="00D40076">
      <w:pPr>
        <w:pStyle w:val="FootnoteText"/>
        <w:rPr>
          <w:lang w:val="en-US"/>
        </w:rPr>
      </w:pPr>
      <w:r>
        <w:rPr>
          <w:rStyle w:val="FootnoteReference"/>
        </w:rPr>
        <w:footnoteRef/>
      </w:r>
      <w:r>
        <w:t xml:space="preserve"> </w:t>
      </w:r>
      <w:r>
        <w:rPr>
          <w:lang w:val="en-US"/>
        </w:rPr>
        <w:t>These third parties are neither affiliated entity(ies) nor associates nor contractors.</w:t>
      </w:r>
    </w:p>
  </w:footnote>
  <w:footnote w:id="17">
    <w:p w:rsidR="00D40076" w:rsidRDefault="00D40076" w:rsidP="0040358C">
      <w:pPr>
        <w:pStyle w:val="FootnoteText"/>
      </w:pPr>
      <w:r>
        <w:footnoteRef/>
      </w:r>
      <w:r>
        <w:tab/>
      </w:r>
      <w:r w:rsidRPr="00DE4085">
        <w:t>Examples</w:t>
      </w:r>
      <w:r>
        <w:t>:</w:t>
      </w:r>
      <w:r w:rsidRPr="00DE4085">
        <w:t>- for staff costs: number of hours or days of work * hourly or daily rate pre-set according to the category of personnel concerned;- for travel expenses: distance in km * pre-set cost of transport per km; number of days * daily allowance pr</w:t>
      </w:r>
      <w:r>
        <w:t>e-set according to the country;</w:t>
      </w:r>
      <w:r w:rsidRPr="00DE4085">
        <w:t xml:space="preserve"> for specific costs arising from the organization of an event: number of participants at the event * pre-set total cost per participant</w:t>
      </w:r>
      <w:r>
        <w:t xml:space="preserve"> etc</w:t>
      </w:r>
      <w:r w:rsidRPr="00DE4085">
        <w:t>.</w:t>
      </w:r>
    </w:p>
  </w:footnote>
  <w:footnote w:id="18">
    <w:p w:rsidR="00D40076" w:rsidRPr="00A016F9" w:rsidRDefault="00D40076" w:rsidP="00F80AF4">
      <w:pPr>
        <w:pStyle w:val="FootnoteText"/>
      </w:pPr>
      <w:r w:rsidRPr="00A016F9">
        <w:footnoteRef/>
      </w:r>
      <w:r w:rsidRPr="00A016F9">
        <w:tab/>
        <w:t xml:space="preserve">Where </w:t>
      </w:r>
      <w:r>
        <w:t xml:space="preserve">the </w:t>
      </w:r>
      <w:r w:rsidRPr="00A016F9">
        <w:t xml:space="preserve">applicant </w:t>
      </w:r>
      <w:r>
        <w:t xml:space="preserve">and/or a co-applicant(s) and or an </w:t>
      </w:r>
      <w:r w:rsidRPr="000D40CC">
        <w:t>affilia</w:t>
      </w:r>
      <w:r>
        <w:t>ted entity(ies)</w:t>
      </w:r>
      <w:r w:rsidRPr="00A016F9">
        <w:t>is a public body created by a law, a copy of the said law must be provided</w:t>
      </w:r>
      <w:r>
        <w:t>.</w:t>
      </w:r>
    </w:p>
  </w:footnote>
  <w:footnote w:id="19">
    <w:p w:rsidR="00D40076" w:rsidRPr="00A016F9" w:rsidRDefault="00D40076" w:rsidP="00F80AF4">
      <w:pPr>
        <w:pStyle w:val="FootnoteText"/>
      </w:pPr>
      <w:r w:rsidRPr="00A016F9">
        <w:footnoteRef/>
      </w:r>
      <w:r w:rsidRPr="00A016F9">
        <w:tab/>
        <w:t>To be inserted only where the eligibility conditions have not changed from one call for proposals to the other.</w:t>
      </w:r>
    </w:p>
  </w:footnote>
  <w:footnote w:id="20">
    <w:p w:rsidR="00D40076" w:rsidRPr="00A016F9" w:rsidRDefault="00D40076" w:rsidP="00F80AF4">
      <w:pPr>
        <w:pStyle w:val="FootnoteText"/>
      </w:pPr>
      <w:r w:rsidRPr="00A016F9">
        <w:footnoteRef/>
      </w:r>
      <w:r w:rsidRPr="00A016F9">
        <w:tab/>
        <w:t>This obligation does not apply to natural persons who have received a scholarship</w:t>
      </w:r>
      <w:r>
        <w:t xml:space="preserve"> or that are</w:t>
      </w:r>
      <w:r w:rsidRPr="00B22511">
        <w:t xml:space="preserve"> in most need in receipt of direct support</w:t>
      </w:r>
      <w:r w:rsidRPr="00A016F9">
        <w:t xml:space="preserve">, nor to public bodies </w:t>
      </w:r>
      <w:r>
        <w:t>and</w:t>
      </w:r>
      <w:r w:rsidRPr="00A016F9">
        <w:t xml:space="preserve"> to international organisations. It does not apply either when the accounts are in practice the same documents as the external audit report already provided pursuant to Section 2.4.2. </w:t>
      </w:r>
    </w:p>
  </w:footnote>
  <w:footnote w:id="21">
    <w:p w:rsidR="00D40076" w:rsidRPr="00F9288E" w:rsidRDefault="00D40076">
      <w:pPr>
        <w:pStyle w:val="FootnoteText"/>
      </w:pPr>
      <w:r>
        <w:rPr>
          <w:rStyle w:val="FootnoteReference"/>
        </w:rPr>
        <w:footnoteRef/>
      </w:r>
      <w:r>
        <w:t xml:space="preserve"> </w:t>
      </w:r>
      <w:r w:rsidRPr="00807DAF">
        <w:t>Complemented by the provisions in Annex e</w:t>
      </w:r>
      <w:r>
        <w:t xml:space="preserve">3h11 where at least one of the beneficiaries is an international organisation. </w:t>
      </w:r>
    </w:p>
  </w:footnote>
  <w:footnote w:id="22">
    <w:p w:rsidR="00D40076" w:rsidRPr="00A016F9" w:rsidRDefault="00D40076" w:rsidP="0040358C">
      <w:pPr>
        <w:pStyle w:val="FootnoteText"/>
      </w:pPr>
      <w:r w:rsidRPr="00A016F9">
        <w:footnoteRef/>
      </w:r>
      <w:r w:rsidRPr="00A016F9">
        <w:tab/>
        <w:t xml:space="preserve">Optional where the total amount of the grants to be awarded under the Call for Proposals is </w:t>
      </w:r>
      <w:r>
        <w:t>EUR</w:t>
      </w:r>
      <w:r w:rsidRPr="009E15DE">
        <w:rPr>
          <w:w w:val="50"/>
        </w:rPr>
        <w:t> </w:t>
      </w:r>
      <w:r w:rsidRPr="00A016F9">
        <w:t>100</w:t>
      </w:r>
      <w:r w:rsidRPr="00A016F9">
        <w:rPr>
          <w:w w:val="50"/>
        </w:rPr>
        <w:t> </w:t>
      </w:r>
      <w:r w:rsidRPr="00A016F9">
        <w:t>000 or less.</w:t>
      </w:r>
    </w:p>
  </w:footnote>
  <w:footnote w:id="23">
    <w:p w:rsidR="00D40076" w:rsidRPr="00A016F9" w:rsidRDefault="00D40076" w:rsidP="0040358C">
      <w:pPr>
        <w:pStyle w:val="FootnoteText"/>
      </w:pPr>
      <w:r w:rsidRPr="00A016F9">
        <w:footnoteRef/>
      </w:r>
      <w:r w:rsidRPr="00A016F9">
        <w:tab/>
        <w:t>Only applicable where the European Commission is the Contracting Authority or will make the payments under the contracts to be signed.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5A685F0"/>
    <w:lvl w:ilvl="0">
      <w:start w:val="1"/>
      <w:numFmt w:val="decimal"/>
      <w:lvlText w:val="%1."/>
      <w:lvlJc w:val="left"/>
      <w:pPr>
        <w:tabs>
          <w:tab w:val="num" w:pos="1800"/>
        </w:tabs>
        <w:ind w:left="1800" w:hanging="360"/>
      </w:pPr>
    </w:lvl>
  </w:abstractNum>
  <w:abstractNum w:abstractNumId="1">
    <w:nsid w:val="FFFFFF7D"/>
    <w:multiLevelType w:val="singleLevel"/>
    <w:tmpl w:val="CB5AD02E"/>
    <w:lvl w:ilvl="0">
      <w:start w:val="1"/>
      <w:numFmt w:val="decimal"/>
      <w:lvlText w:val="%1."/>
      <w:lvlJc w:val="left"/>
      <w:pPr>
        <w:tabs>
          <w:tab w:val="num" w:pos="1440"/>
        </w:tabs>
        <w:ind w:left="1440" w:hanging="360"/>
      </w:pPr>
    </w:lvl>
  </w:abstractNum>
  <w:abstractNum w:abstractNumId="2">
    <w:nsid w:val="FFFFFF7E"/>
    <w:multiLevelType w:val="singleLevel"/>
    <w:tmpl w:val="EC761E86"/>
    <w:lvl w:ilvl="0">
      <w:start w:val="1"/>
      <w:numFmt w:val="decimal"/>
      <w:lvlText w:val="%1."/>
      <w:lvlJc w:val="left"/>
      <w:pPr>
        <w:tabs>
          <w:tab w:val="num" w:pos="1080"/>
        </w:tabs>
        <w:ind w:left="1080" w:hanging="360"/>
      </w:pPr>
    </w:lvl>
  </w:abstractNum>
  <w:abstractNum w:abstractNumId="3">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1"/>
    <w:multiLevelType w:val="singleLevel"/>
    <w:tmpl w:val="3828AEF2"/>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0E20281E"/>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4BFA1CD8"/>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9FC4A3E8"/>
    <w:lvl w:ilvl="0">
      <w:start w:val="1"/>
      <w:numFmt w:val="decimal"/>
      <w:lvlText w:val="%1."/>
      <w:lvlJc w:val="left"/>
      <w:pPr>
        <w:tabs>
          <w:tab w:val="num" w:pos="360"/>
        </w:tabs>
        <w:ind w:left="360" w:hanging="360"/>
      </w:pPr>
    </w:lvl>
  </w:abstractNum>
  <w:abstractNum w:abstractNumId="8">
    <w:nsid w:val="0000000F"/>
    <w:multiLevelType w:val="singleLevel"/>
    <w:tmpl w:val="0000000F"/>
    <w:lvl w:ilvl="0">
      <w:start w:val="1"/>
      <w:numFmt w:val="bullet"/>
      <w:lvlText w:val=""/>
      <w:lvlJc w:val="left"/>
      <w:pPr>
        <w:tabs>
          <w:tab w:val="num" w:pos="340"/>
        </w:tabs>
        <w:ind w:left="340" w:hanging="340"/>
      </w:pPr>
      <w:rPr>
        <w:rFonts w:ascii="Wingdings" w:hAnsi="Wingdings"/>
        <w:b/>
        <w:i w:val="0"/>
        <w:color w:val="auto"/>
        <w:sz w:val="18"/>
        <w:szCs w:val="18"/>
      </w:rPr>
    </w:lvl>
  </w:abstractNum>
  <w:abstractNum w:abstractNumId="9">
    <w:nsid w:val="01652CCC"/>
    <w:multiLevelType w:val="multilevel"/>
    <w:tmpl w:val="E0AE2758"/>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103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0">
    <w:nsid w:val="061D2E09"/>
    <w:multiLevelType w:val="hybridMultilevel"/>
    <w:tmpl w:val="84D8D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306FCB"/>
    <w:multiLevelType w:val="hybridMultilevel"/>
    <w:tmpl w:val="413CFFD4"/>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2">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182"/>
    <w:multiLevelType w:val="hybridMultilevel"/>
    <w:tmpl w:val="C9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2B2471"/>
    <w:multiLevelType w:val="hybridMultilevel"/>
    <w:tmpl w:val="8CE00914"/>
    <w:lvl w:ilvl="0" w:tplc="04090017">
      <w:start w:val="1"/>
      <w:numFmt w:val="lowerLetter"/>
      <w:lvlText w:val="%1)"/>
      <w:lvlJc w:val="left"/>
      <w:pPr>
        <w:tabs>
          <w:tab w:val="num" w:pos="1440"/>
        </w:tabs>
        <w:ind w:left="1440" w:hanging="36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5">
    <w:nsid w:val="11D67EBF"/>
    <w:multiLevelType w:val="hybridMultilevel"/>
    <w:tmpl w:val="FBB048D8"/>
    <w:lvl w:ilvl="0" w:tplc="1B004618">
      <w:start w:val="1"/>
      <w:numFmt w:val="bullet"/>
      <w:pStyle w:val="Sous-titre1"/>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3E1A34"/>
    <w:multiLevelType w:val="hybridMultilevel"/>
    <w:tmpl w:val="F29E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981EE6"/>
    <w:multiLevelType w:val="hybridMultilevel"/>
    <w:tmpl w:val="ED906F30"/>
    <w:lvl w:ilvl="0" w:tplc="11AA0C8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B3A91"/>
    <w:multiLevelType w:val="hybridMultilevel"/>
    <w:tmpl w:val="396A24DE"/>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3">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8833F4"/>
    <w:multiLevelType w:val="hybridMultilevel"/>
    <w:tmpl w:val="991E841E"/>
    <w:lvl w:ilvl="0" w:tplc="B074E4EC">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7">
    <w:nsid w:val="528E50CA"/>
    <w:multiLevelType w:val="hybridMultilevel"/>
    <w:tmpl w:val="F300C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4F4059"/>
    <w:multiLevelType w:val="hybridMultilevel"/>
    <w:tmpl w:val="C6AC5230"/>
    <w:lvl w:ilvl="0" w:tplc="0409001B">
      <w:start w:val="1"/>
      <w:numFmt w:val="lowerRoman"/>
      <w:lvlText w:val="%1."/>
      <w:lvlJc w:val="righ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3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7246E"/>
    <w:multiLevelType w:val="hybridMultilevel"/>
    <w:tmpl w:val="7E88C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772A12"/>
    <w:multiLevelType w:val="hybridMultilevel"/>
    <w:tmpl w:val="5C5CD1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90C21"/>
    <w:multiLevelType w:val="hybridMultilevel"/>
    <w:tmpl w:val="1F344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30C1C"/>
    <w:multiLevelType w:val="hybridMultilevel"/>
    <w:tmpl w:val="9BD85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E57411"/>
    <w:multiLevelType w:val="hybridMultilevel"/>
    <w:tmpl w:val="0BAC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B485101"/>
    <w:multiLevelType w:val="hybridMultilevel"/>
    <w:tmpl w:val="DBA0059C"/>
    <w:lvl w:ilvl="0" w:tplc="2E9A53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42"/>
  </w:num>
  <w:num w:numId="4">
    <w:abstractNumId w:val="16"/>
  </w:num>
  <w:num w:numId="5">
    <w:abstractNumId w:val="31"/>
  </w:num>
  <w:num w:numId="6">
    <w:abstractNumId w:val="36"/>
  </w:num>
  <w:num w:numId="7">
    <w:abstractNumId w:val="17"/>
  </w:num>
  <w:num w:numId="8">
    <w:abstractNumId w:val="37"/>
  </w:num>
  <w:num w:numId="9">
    <w:abstractNumId w:val="28"/>
  </w:num>
  <w:num w:numId="10">
    <w:abstractNumId w:val="18"/>
  </w:num>
  <w:num w:numId="11">
    <w:abstractNumId w:val="41"/>
  </w:num>
  <w:num w:numId="12">
    <w:abstractNumId w:val="19"/>
  </w:num>
  <w:num w:numId="13">
    <w:abstractNumId w:val="12"/>
  </w:num>
  <w:num w:numId="14">
    <w:abstractNumId w:val="23"/>
  </w:num>
  <w:num w:numId="15">
    <w:abstractNumId w:val="26"/>
  </w:num>
  <w:num w:numId="16">
    <w:abstractNumId w:val="39"/>
  </w:num>
  <w:num w:numId="17">
    <w:abstractNumId w:val="14"/>
  </w:num>
  <w:num w:numId="18">
    <w:abstractNumId w:val="8"/>
  </w:num>
  <w:num w:numId="19">
    <w:abstractNumId w:val="33"/>
  </w:num>
  <w:num w:numId="20">
    <w:abstractNumId w:val="27"/>
  </w:num>
  <w:num w:numId="21">
    <w:abstractNumId w:val="15"/>
  </w:num>
  <w:num w:numId="22">
    <w:abstractNumId w:val="38"/>
  </w:num>
  <w:num w:numId="23">
    <w:abstractNumId w:val="13"/>
  </w:num>
  <w:num w:numId="24">
    <w:abstractNumId w:val="21"/>
  </w:num>
  <w:num w:numId="25">
    <w:abstractNumId w:val="25"/>
  </w:num>
  <w:num w:numId="26">
    <w:abstractNumId w:val="32"/>
  </w:num>
  <w:num w:numId="27">
    <w:abstractNumId w:val="3"/>
  </w:num>
  <w:num w:numId="28">
    <w:abstractNumId w:val="35"/>
  </w:num>
  <w:num w:numId="29">
    <w:abstractNumId w:val="40"/>
  </w:num>
  <w:num w:numId="30">
    <w:abstractNumId w:val="10"/>
  </w:num>
  <w:num w:numId="31">
    <w:abstractNumId w:val="22"/>
  </w:num>
  <w:num w:numId="32">
    <w:abstractNumId w:val="29"/>
  </w:num>
  <w:num w:numId="33">
    <w:abstractNumId w:val="34"/>
  </w:num>
  <w:num w:numId="34">
    <w:abstractNumId w:val="11"/>
  </w:num>
  <w:num w:numId="35">
    <w:abstractNumId w:val="6"/>
  </w:num>
  <w:num w:numId="36">
    <w:abstractNumId w:val="5"/>
  </w:num>
  <w:num w:numId="37">
    <w:abstractNumId w:val="4"/>
  </w:num>
  <w:num w:numId="38">
    <w:abstractNumId w:val="7"/>
  </w:num>
  <w:num w:numId="39">
    <w:abstractNumId w:val="2"/>
  </w:num>
  <w:num w:numId="40">
    <w:abstractNumId w:val="1"/>
  </w:num>
  <w:num w:numId="41">
    <w:abstractNumId w:val="0"/>
  </w:num>
  <w:num w:numId="4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396"/>
    <w:rsid w:val="000006EB"/>
    <w:rsid w:val="00001199"/>
    <w:rsid w:val="000015FC"/>
    <w:rsid w:val="00002596"/>
    <w:rsid w:val="000025AF"/>
    <w:rsid w:val="00003166"/>
    <w:rsid w:val="00003724"/>
    <w:rsid w:val="000041CE"/>
    <w:rsid w:val="0000587D"/>
    <w:rsid w:val="00006318"/>
    <w:rsid w:val="00010DAE"/>
    <w:rsid w:val="0001129D"/>
    <w:rsid w:val="00011765"/>
    <w:rsid w:val="000118BC"/>
    <w:rsid w:val="0001251B"/>
    <w:rsid w:val="000127B4"/>
    <w:rsid w:val="00012D9A"/>
    <w:rsid w:val="00013FDD"/>
    <w:rsid w:val="0001462B"/>
    <w:rsid w:val="0001485A"/>
    <w:rsid w:val="000159A3"/>
    <w:rsid w:val="00017DDF"/>
    <w:rsid w:val="000220E5"/>
    <w:rsid w:val="00023576"/>
    <w:rsid w:val="0002374A"/>
    <w:rsid w:val="0002503B"/>
    <w:rsid w:val="00025ECC"/>
    <w:rsid w:val="00026D5B"/>
    <w:rsid w:val="00027284"/>
    <w:rsid w:val="00027881"/>
    <w:rsid w:val="00027C2F"/>
    <w:rsid w:val="00027EF5"/>
    <w:rsid w:val="00030A89"/>
    <w:rsid w:val="00030E42"/>
    <w:rsid w:val="000312D2"/>
    <w:rsid w:val="00031E41"/>
    <w:rsid w:val="00033440"/>
    <w:rsid w:val="00034BC8"/>
    <w:rsid w:val="00035590"/>
    <w:rsid w:val="000369C2"/>
    <w:rsid w:val="0003745D"/>
    <w:rsid w:val="0003772E"/>
    <w:rsid w:val="00037969"/>
    <w:rsid w:val="000405C5"/>
    <w:rsid w:val="00042967"/>
    <w:rsid w:val="000433CF"/>
    <w:rsid w:val="00044FD4"/>
    <w:rsid w:val="00045E79"/>
    <w:rsid w:val="00046C46"/>
    <w:rsid w:val="00047283"/>
    <w:rsid w:val="00047C7D"/>
    <w:rsid w:val="00050E48"/>
    <w:rsid w:val="0005133A"/>
    <w:rsid w:val="0005169C"/>
    <w:rsid w:val="00051887"/>
    <w:rsid w:val="00051AC1"/>
    <w:rsid w:val="00054B49"/>
    <w:rsid w:val="00056377"/>
    <w:rsid w:val="000568AD"/>
    <w:rsid w:val="000572EE"/>
    <w:rsid w:val="000603C3"/>
    <w:rsid w:val="0006044D"/>
    <w:rsid w:val="000616CA"/>
    <w:rsid w:val="00061871"/>
    <w:rsid w:val="000618B3"/>
    <w:rsid w:val="00061B6F"/>
    <w:rsid w:val="00062A91"/>
    <w:rsid w:val="000636F3"/>
    <w:rsid w:val="000638B5"/>
    <w:rsid w:val="00063A68"/>
    <w:rsid w:val="0006470D"/>
    <w:rsid w:val="0006488E"/>
    <w:rsid w:val="000648BB"/>
    <w:rsid w:val="0006505A"/>
    <w:rsid w:val="00065311"/>
    <w:rsid w:val="00065F32"/>
    <w:rsid w:val="00066F75"/>
    <w:rsid w:val="00067591"/>
    <w:rsid w:val="00067A85"/>
    <w:rsid w:val="00067FD9"/>
    <w:rsid w:val="000734D6"/>
    <w:rsid w:val="000735EC"/>
    <w:rsid w:val="0007408E"/>
    <w:rsid w:val="000745FC"/>
    <w:rsid w:val="0007546C"/>
    <w:rsid w:val="000772BD"/>
    <w:rsid w:val="00077BB8"/>
    <w:rsid w:val="00081B91"/>
    <w:rsid w:val="000842B5"/>
    <w:rsid w:val="000848BC"/>
    <w:rsid w:val="00084CB5"/>
    <w:rsid w:val="000852E9"/>
    <w:rsid w:val="0008570E"/>
    <w:rsid w:val="0008672E"/>
    <w:rsid w:val="00087373"/>
    <w:rsid w:val="000919FB"/>
    <w:rsid w:val="00092688"/>
    <w:rsid w:val="00093C1F"/>
    <w:rsid w:val="00093DA8"/>
    <w:rsid w:val="00094CC8"/>
    <w:rsid w:val="0009588C"/>
    <w:rsid w:val="00095C5E"/>
    <w:rsid w:val="0009657A"/>
    <w:rsid w:val="000968E7"/>
    <w:rsid w:val="00097401"/>
    <w:rsid w:val="00097686"/>
    <w:rsid w:val="000976F5"/>
    <w:rsid w:val="00097B47"/>
    <w:rsid w:val="000A05D7"/>
    <w:rsid w:val="000A2C18"/>
    <w:rsid w:val="000A4055"/>
    <w:rsid w:val="000A51F3"/>
    <w:rsid w:val="000A60D9"/>
    <w:rsid w:val="000A7C51"/>
    <w:rsid w:val="000B0477"/>
    <w:rsid w:val="000B071C"/>
    <w:rsid w:val="000B1032"/>
    <w:rsid w:val="000B21CB"/>
    <w:rsid w:val="000B2496"/>
    <w:rsid w:val="000B24FE"/>
    <w:rsid w:val="000B2A3D"/>
    <w:rsid w:val="000B327F"/>
    <w:rsid w:val="000B7AC2"/>
    <w:rsid w:val="000C00BF"/>
    <w:rsid w:val="000C024F"/>
    <w:rsid w:val="000C06A5"/>
    <w:rsid w:val="000C0AD6"/>
    <w:rsid w:val="000C12B2"/>
    <w:rsid w:val="000C1624"/>
    <w:rsid w:val="000C183F"/>
    <w:rsid w:val="000C1CDD"/>
    <w:rsid w:val="000C4252"/>
    <w:rsid w:val="000C4981"/>
    <w:rsid w:val="000C6140"/>
    <w:rsid w:val="000C6348"/>
    <w:rsid w:val="000C6593"/>
    <w:rsid w:val="000D126E"/>
    <w:rsid w:val="000D240A"/>
    <w:rsid w:val="000D40CC"/>
    <w:rsid w:val="000D5F55"/>
    <w:rsid w:val="000D773C"/>
    <w:rsid w:val="000E123D"/>
    <w:rsid w:val="000E1508"/>
    <w:rsid w:val="000E19B9"/>
    <w:rsid w:val="000E2E9C"/>
    <w:rsid w:val="000E3294"/>
    <w:rsid w:val="000E32B1"/>
    <w:rsid w:val="000E38CD"/>
    <w:rsid w:val="000E3E83"/>
    <w:rsid w:val="000E5BD3"/>
    <w:rsid w:val="000E76E9"/>
    <w:rsid w:val="000F197D"/>
    <w:rsid w:val="000F2165"/>
    <w:rsid w:val="000F21E5"/>
    <w:rsid w:val="000F22BC"/>
    <w:rsid w:val="000F47D9"/>
    <w:rsid w:val="000F611E"/>
    <w:rsid w:val="000F62AF"/>
    <w:rsid w:val="000F7405"/>
    <w:rsid w:val="0010005A"/>
    <w:rsid w:val="001003C5"/>
    <w:rsid w:val="00100C6B"/>
    <w:rsid w:val="00100E22"/>
    <w:rsid w:val="00100FAC"/>
    <w:rsid w:val="00101271"/>
    <w:rsid w:val="00101AEE"/>
    <w:rsid w:val="00101B6B"/>
    <w:rsid w:val="00101E54"/>
    <w:rsid w:val="00101FF1"/>
    <w:rsid w:val="001027A3"/>
    <w:rsid w:val="00103DFA"/>
    <w:rsid w:val="00107C6D"/>
    <w:rsid w:val="00112E4F"/>
    <w:rsid w:val="0011455E"/>
    <w:rsid w:val="001151FE"/>
    <w:rsid w:val="001158D6"/>
    <w:rsid w:val="001162F0"/>
    <w:rsid w:val="00116CE9"/>
    <w:rsid w:val="001178DC"/>
    <w:rsid w:val="00120A8D"/>
    <w:rsid w:val="00121CA0"/>
    <w:rsid w:val="00122B03"/>
    <w:rsid w:val="001232A6"/>
    <w:rsid w:val="001236BA"/>
    <w:rsid w:val="00124239"/>
    <w:rsid w:val="00126371"/>
    <w:rsid w:val="00127131"/>
    <w:rsid w:val="001276FB"/>
    <w:rsid w:val="00127B48"/>
    <w:rsid w:val="001309F2"/>
    <w:rsid w:val="001327FD"/>
    <w:rsid w:val="00132E55"/>
    <w:rsid w:val="0013435B"/>
    <w:rsid w:val="00134499"/>
    <w:rsid w:val="00136AD0"/>
    <w:rsid w:val="00137D64"/>
    <w:rsid w:val="001421B6"/>
    <w:rsid w:val="00143E05"/>
    <w:rsid w:val="00146818"/>
    <w:rsid w:val="0014692E"/>
    <w:rsid w:val="00146972"/>
    <w:rsid w:val="00146F1C"/>
    <w:rsid w:val="00147285"/>
    <w:rsid w:val="00147ECE"/>
    <w:rsid w:val="001507D1"/>
    <w:rsid w:val="001507E7"/>
    <w:rsid w:val="00152F84"/>
    <w:rsid w:val="00153C75"/>
    <w:rsid w:val="00153E80"/>
    <w:rsid w:val="00154428"/>
    <w:rsid w:val="00154C34"/>
    <w:rsid w:val="001554CF"/>
    <w:rsid w:val="001561E0"/>
    <w:rsid w:val="001566CE"/>
    <w:rsid w:val="00157648"/>
    <w:rsid w:val="00160781"/>
    <w:rsid w:val="0016164F"/>
    <w:rsid w:val="00161AC7"/>
    <w:rsid w:val="00161C69"/>
    <w:rsid w:val="001625AC"/>
    <w:rsid w:val="001628B5"/>
    <w:rsid w:val="001640CB"/>
    <w:rsid w:val="001659ED"/>
    <w:rsid w:val="00165C22"/>
    <w:rsid w:val="00165EB2"/>
    <w:rsid w:val="00166172"/>
    <w:rsid w:val="001664B1"/>
    <w:rsid w:val="00167963"/>
    <w:rsid w:val="00167D43"/>
    <w:rsid w:val="00171D22"/>
    <w:rsid w:val="00172079"/>
    <w:rsid w:val="00173C10"/>
    <w:rsid w:val="00175DE7"/>
    <w:rsid w:val="00175F1E"/>
    <w:rsid w:val="00176719"/>
    <w:rsid w:val="00176FB1"/>
    <w:rsid w:val="0017762C"/>
    <w:rsid w:val="001778E4"/>
    <w:rsid w:val="00180523"/>
    <w:rsid w:val="001817FD"/>
    <w:rsid w:val="00181D7A"/>
    <w:rsid w:val="0018302A"/>
    <w:rsid w:val="001848C3"/>
    <w:rsid w:val="001851C2"/>
    <w:rsid w:val="00185A64"/>
    <w:rsid w:val="001870D3"/>
    <w:rsid w:val="00190A83"/>
    <w:rsid w:val="00191755"/>
    <w:rsid w:val="00192503"/>
    <w:rsid w:val="0019373F"/>
    <w:rsid w:val="00195EAB"/>
    <w:rsid w:val="001A081C"/>
    <w:rsid w:val="001A0FEC"/>
    <w:rsid w:val="001A143D"/>
    <w:rsid w:val="001A1E7A"/>
    <w:rsid w:val="001A3322"/>
    <w:rsid w:val="001A394F"/>
    <w:rsid w:val="001A3FE1"/>
    <w:rsid w:val="001A4D38"/>
    <w:rsid w:val="001A4F8E"/>
    <w:rsid w:val="001B03E2"/>
    <w:rsid w:val="001B0750"/>
    <w:rsid w:val="001B2484"/>
    <w:rsid w:val="001B26AC"/>
    <w:rsid w:val="001B53ED"/>
    <w:rsid w:val="001B571D"/>
    <w:rsid w:val="001B596A"/>
    <w:rsid w:val="001B69A5"/>
    <w:rsid w:val="001B6E72"/>
    <w:rsid w:val="001B6F5A"/>
    <w:rsid w:val="001B7AE1"/>
    <w:rsid w:val="001C0A89"/>
    <w:rsid w:val="001C0EFE"/>
    <w:rsid w:val="001C1D2C"/>
    <w:rsid w:val="001C1EB6"/>
    <w:rsid w:val="001C474A"/>
    <w:rsid w:val="001C4AF5"/>
    <w:rsid w:val="001C4EEE"/>
    <w:rsid w:val="001C6727"/>
    <w:rsid w:val="001C71E4"/>
    <w:rsid w:val="001C71F8"/>
    <w:rsid w:val="001C7DA0"/>
    <w:rsid w:val="001D0C7B"/>
    <w:rsid w:val="001D0D72"/>
    <w:rsid w:val="001D1E8B"/>
    <w:rsid w:val="001D2826"/>
    <w:rsid w:val="001D53DE"/>
    <w:rsid w:val="001D5B79"/>
    <w:rsid w:val="001D6917"/>
    <w:rsid w:val="001D6EA7"/>
    <w:rsid w:val="001D7B14"/>
    <w:rsid w:val="001E0435"/>
    <w:rsid w:val="001E10DA"/>
    <w:rsid w:val="001E274C"/>
    <w:rsid w:val="001E2E0D"/>
    <w:rsid w:val="001E3BA7"/>
    <w:rsid w:val="001E4A72"/>
    <w:rsid w:val="001E633D"/>
    <w:rsid w:val="001E6568"/>
    <w:rsid w:val="001E73E7"/>
    <w:rsid w:val="001E7C41"/>
    <w:rsid w:val="001F0936"/>
    <w:rsid w:val="001F4014"/>
    <w:rsid w:val="001F47DB"/>
    <w:rsid w:val="001F56CE"/>
    <w:rsid w:val="001F59CD"/>
    <w:rsid w:val="001F7BAA"/>
    <w:rsid w:val="001F7DFC"/>
    <w:rsid w:val="002015A7"/>
    <w:rsid w:val="00201798"/>
    <w:rsid w:val="00201A18"/>
    <w:rsid w:val="002023D8"/>
    <w:rsid w:val="00203ABF"/>
    <w:rsid w:val="0020401B"/>
    <w:rsid w:val="002040AB"/>
    <w:rsid w:val="002045C6"/>
    <w:rsid w:val="00205D6F"/>
    <w:rsid w:val="002060C2"/>
    <w:rsid w:val="00211B17"/>
    <w:rsid w:val="00211B8D"/>
    <w:rsid w:val="00212526"/>
    <w:rsid w:val="0021255E"/>
    <w:rsid w:val="002128D0"/>
    <w:rsid w:val="0021362B"/>
    <w:rsid w:val="00213985"/>
    <w:rsid w:val="00217E0A"/>
    <w:rsid w:val="0022115B"/>
    <w:rsid w:val="00221163"/>
    <w:rsid w:val="0022128C"/>
    <w:rsid w:val="0022238F"/>
    <w:rsid w:val="00222427"/>
    <w:rsid w:val="0022283B"/>
    <w:rsid w:val="00222AE2"/>
    <w:rsid w:val="00222CE0"/>
    <w:rsid w:val="00223658"/>
    <w:rsid w:val="00223C40"/>
    <w:rsid w:val="00223F94"/>
    <w:rsid w:val="002254C4"/>
    <w:rsid w:val="00225C3A"/>
    <w:rsid w:val="00226148"/>
    <w:rsid w:val="002265E1"/>
    <w:rsid w:val="00227148"/>
    <w:rsid w:val="0023018A"/>
    <w:rsid w:val="002311AE"/>
    <w:rsid w:val="00231C23"/>
    <w:rsid w:val="00232FF9"/>
    <w:rsid w:val="00233450"/>
    <w:rsid w:val="00233466"/>
    <w:rsid w:val="00234335"/>
    <w:rsid w:val="002355D2"/>
    <w:rsid w:val="00235863"/>
    <w:rsid w:val="00236984"/>
    <w:rsid w:val="00236CA0"/>
    <w:rsid w:val="002378D0"/>
    <w:rsid w:val="00237938"/>
    <w:rsid w:val="002379BB"/>
    <w:rsid w:val="00237BB9"/>
    <w:rsid w:val="0024146B"/>
    <w:rsid w:val="00241895"/>
    <w:rsid w:val="0024336B"/>
    <w:rsid w:val="00244AFA"/>
    <w:rsid w:val="00244BC4"/>
    <w:rsid w:val="00244D10"/>
    <w:rsid w:val="00245478"/>
    <w:rsid w:val="0024623A"/>
    <w:rsid w:val="00251000"/>
    <w:rsid w:val="002527D1"/>
    <w:rsid w:val="002537E7"/>
    <w:rsid w:val="0025585A"/>
    <w:rsid w:val="00256233"/>
    <w:rsid w:val="0025737C"/>
    <w:rsid w:val="002573AC"/>
    <w:rsid w:val="00260548"/>
    <w:rsid w:val="00260640"/>
    <w:rsid w:val="0026123F"/>
    <w:rsid w:val="00264C31"/>
    <w:rsid w:val="00265280"/>
    <w:rsid w:val="00265A33"/>
    <w:rsid w:val="002661BC"/>
    <w:rsid w:val="00266BD4"/>
    <w:rsid w:val="00267AD8"/>
    <w:rsid w:val="00267E4F"/>
    <w:rsid w:val="0027011D"/>
    <w:rsid w:val="00270A4A"/>
    <w:rsid w:val="002729BF"/>
    <w:rsid w:val="00275694"/>
    <w:rsid w:val="00275AAF"/>
    <w:rsid w:val="00276FCD"/>
    <w:rsid w:val="002777BB"/>
    <w:rsid w:val="00277B28"/>
    <w:rsid w:val="002808A5"/>
    <w:rsid w:val="002809D4"/>
    <w:rsid w:val="00280C8B"/>
    <w:rsid w:val="00281295"/>
    <w:rsid w:val="00282832"/>
    <w:rsid w:val="002850B1"/>
    <w:rsid w:val="002852CE"/>
    <w:rsid w:val="00285551"/>
    <w:rsid w:val="002901C9"/>
    <w:rsid w:val="0029175E"/>
    <w:rsid w:val="00291A36"/>
    <w:rsid w:val="00292E73"/>
    <w:rsid w:val="002932B4"/>
    <w:rsid w:val="002941A9"/>
    <w:rsid w:val="00294236"/>
    <w:rsid w:val="00294490"/>
    <w:rsid w:val="00295591"/>
    <w:rsid w:val="002968AE"/>
    <w:rsid w:val="00296A25"/>
    <w:rsid w:val="00296BDF"/>
    <w:rsid w:val="00296EE4"/>
    <w:rsid w:val="002A0BA0"/>
    <w:rsid w:val="002A189E"/>
    <w:rsid w:val="002A4363"/>
    <w:rsid w:val="002A4866"/>
    <w:rsid w:val="002A662F"/>
    <w:rsid w:val="002A680D"/>
    <w:rsid w:val="002A730B"/>
    <w:rsid w:val="002B2921"/>
    <w:rsid w:val="002B3016"/>
    <w:rsid w:val="002B40A3"/>
    <w:rsid w:val="002B4D8B"/>
    <w:rsid w:val="002B4EDE"/>
    <w:rsid w:val="002B6407"/>
    <w:rsid w:val="002B6FCD"/>
    <w:rsid w:val="002B7141"/>
    <w:rsid w:val="002B7415"/>
    <w:rsid w:val="002B78DD"/>
    <w:rsid w:val="002B7E10"/>
    <w:rsid w:val="002C1016"/>
    <w:rsid w:val="002C4B11"/>
    <w:rsid w:val="002C5506"/>
    <w:rsid w:val="002C572D"/>
    <w:rsid w:val="002C7369"/>
    <w:rsid w:val="002D0B7B"/>
    <w:rsid w:val="002D0EEF"/>
    <w:rsid w:val="002D1AD1"/>
    <w:rsid w:val="002D284A"/>
    <w:rsid w:val="002D4ACD"/>
    <w:rsid w:val="002D4DD8"/>
    <w:rsid w:val="002D54CA"/>
    <w:rsid w:val="002D566A"/>
    <w:rsid w:val="002D5C26"/>
    <w:rsid w:val="002D62FC"/>
    <w:rsid w:val="002D65F6"/>
    <w:rsid w:val="002D6A16"/>
    <w:rsid w:val="002D7ADE"/>
    <w:rsid w:val="002E0652"/>
    <w:rsid w:val="002E0A05"/>
    <w:rsid w:val="002E2508"/>
    <w:rsid w:val="002E38E4"/>
    <w:rsid w:val="002E4196"/>
    <w:rsid w:val="002E4455"/>
    <w:rsid w:val="002E4ED0"/>
    <w:rsid w:val="002E536D"/>
    <w:rsid w:val="002E57E3"/>
    <w:rsid w:val="002E5D69"/>
    <w:rsid w:val="002E65D7"/>
    <w:rsid w:val="002E76D9"/>
    <w:rsid w:val="002F3F27"/>
    <w:rsid w:val="002F4094"/>
    <w:rsid w:val="002F4D63"/>
    <w:rsid w:val="002F53C2"/>
    <w:rsid w:val="002F5787"/>
    <w:rsid w:val="003004F6"/>
    <w:rsid w:val="00301E5E"/>
    <w:rsid w:val="0030239C"/>
    <w:rsid w:val="00302B73"/>
    <w:rsid w:val="00302E84"/>
    <w:rsid w:val="003048CC"/>
    <w:rsid w:val="00306EBD"/>
    <w:rsid w:val="00311AAE"/>
    <w:rsid w:val="00311D7F"/>
    <w:rsid w:val="00312C98"/>
    <w:rsid w:val="003137E2"/>
    <w:rsid w:val="003139E4"/>
    <w:rsid w:val="00313F51"/>
    <w:rsid w:val="00314734"/>
    <w:rsid w:val="00314D93"/>
    <w:rsid w:val="003172E5"/>
    <w:rsid w:val="0031769D"/>
    <w:rsid w:val="00320C1F"/>
    <w:rsid w:val="00322322"/>
    <w:rsid w:val="00322D1B"/>
    <w:rsid w:val="00322F1C"/>
    <w:rsid w:val="00324762"/>
    <w:rsid w:val="003248FB"/>
    <w:rsid w:val="0032711C"/>
    <w:rsid w:val="003271BD"/>
    <w:rsid w:val="0032760E"/>
    <w:rsid w:val="00327BB2"/>
    <w:rsid w:val="0033060C"/>
    <w:rsid w:val="003319BB"/>
    <w:rsid w:val="00332780"/>
    <w:rsid w:val="00334342"/>
    <w:rsid w:val="003343A2"/>
    <w:rsid w:val="00334997"/>
    <w:rsid w:val="003363DD"/>
    <w:rsid w:val="003377C8"/>
    <w:rsid w:val="0033794D"/>
    <w:rsid w:val="00337C61"/>
    <w:rsid w:val="00340416"/>
    <w:rsid w:val="00341C39"/>
    <w:rsid w:val="00345514"/>
    <w:rsid w:val="00345A0D"/>
    <w:rsid w:val="00346742"/>
    <w:rsid w:val="003477DE"/>
    <w:rsid w:val="0035206C"/>
    <w:rsid w:val="00353E3A"/>
    <w:rsid w:val="00354267"/>
    <w:rsid w:val="00356463"/>
    <w:rsid w:val="003565E6"/>
    <w:rsid w:val="00356ABC"/>
    <w:rsid w:val="00356DFC"/>
    <w:rsid w:val="00357AA6"/>
    <w:rsid w:val="00357CC0"/>
    <w:rsid w:val="003606BE"/>
    <w:rsid w:val="00360EC0"/>
    <w:rsid w:val="003620C8"/>
    <w:rsid w:val="0036243E"/>
    <w:rsid w:val="0036395E"/>
    <w:rsid w:val="00363B5A"/>
    <w:rsid w:val="0036478B"/>
    <w:rsid w:val="00364F72"/>
    <w:rsid w:val="003664DD"/>
    <w:rsid w:val="00367035"/>
    <w:rsid w:val="00367AA3"/>
    <w:rsid w:val="00370805"/>
    <w:rsid w:val="00370984"/>
    <w:rsid w:val="00370AB0"/>
    <w:rsid w:val="00371364"/>
    <w:rsid w:val="0037369C"/>
    <w:rsid w:val="003737C8"/>
    <w:rsid w:val="003743F9"/>
    <w:rsid w:val="003749B5"/>
    <w:rsid w:val="00376E92"/>
    <w:rsid w:val="003776B9"/>
    <w:rsid w:val="00380723"/>
    <w:rsid w:val="00380C43"/>
    <w:rsid w:val="00382428"/>
    <w:rsid w:val="0038373D"/>
    <w:rsid w:val="003858CD"/>
    <w:rsid w:val="00386331"/>
    <w:rsid w:val="00386540"/>
    <w:rsid w:val="0038698E"/>
    <w:rsid w:val="00386D0F"/>
    <w:rsid w:val="00387AB3"/>
    <w:rsid w:val="00387B18"/>
    <w:rsid w:val="0039065F"/>
    <w:rsid w:val="00391C3F"/>
    <w:rsid w:val="003927A2"/>
    <w:rsid w:val="00392B2D"/>
    <w:rsid w:val="00393662"/>
    <w:rsid w:val="00394391"/>
    <w:rsid w:val="0039471F"/>
    <w:rsid w:val="00394918"/>
    <w:rsid w:val="003951C2"/>
    <w:rsid w:val="003956DF"/>
    <w:rsid w:val="0039577A"/>
    <w:rsid w:val="0039588C"/>
    <w:rsid w:val="00395F22"/>
    <w:rsid w:val="00397FA1"/>
    <w:rsid w:val="003A1885"/>
    <w:rsid w:val="003A2107"/>
    <w:rsid w:val="003A69F2"/>
    <w:rsid w:val="003A6C87"/>
    <w:rsid w:val="003A6E35"/>
    <w:rsid w:val="003A7309"/>
    <w:rsid w:val="003B19BE"/>
    <w:rsid w:val="003B33EE"/>
    <w:rsid w:val="003C1E47"/>
    <w:rsid w:val="003C3C5C"/>
    <w:rsid w:val="003C3D26"/>
    <w:rsid w:val="003C49E3"/>
    <w:rsid w:val="003C502B"/>
    <w:rsid w:val="003C65E2"/>
    <w:rsid w:val="003C6FFD"/>
    <w:rsid w:val="003C756F"/>
    <w:rsid w:val="003D03C9"/>
    <w:rsid w:val="003D09EB"/>
    <w:rsid w:val="003D10CF"/>
    <w:rsid w:val="003D1261"/>
    <w:rsid w:val="003D150A"/>
    <w:rsid w:val="003D1718"/>
    <w:rsid w:val="003D1E09"/>
    <w:rsid w:val="003D30A4"/>
    <w:rsid w:val="003D3168"/>
    <w:rsid w:val="003D43B3"/>
    <w:rsid w:val="003D5B2F"/>
    <w:rsid w:val="003D5E2E"/>
    <w:rsid w:val="003D6771"/>
    <w:rsid w:val="003D6EF8"/>
    <w:rsid w:val="003E106D"/>
    <w:rsid w:val="003E1D4F"/>
    <w:rsid w:val="003E2AD6"/>
    <w:rsid w:val="003E3BD6"/>
    <w:rsid w:val="003E532D"/>
    <w:rsid w:val="003E5ECD"/>
    <w:rsid w:val="003E6C9D"/>
    <w:rsid w:val="003E7592"/>
    <w:rsid w:val="003F3F53"/>
    <w:rsid w:val="003F46CC"/>
    <w:rsid w:val="003F5036"/>
    <w:rsid w:val="003F6031"/>
    <w:rsid w:val="003F606E"/>
    <w:rsid w:val="003F7619"/>
    <w:rsid w:val="00400B42"/>
    <w:rsid w:val="00401348"/>
    <w:rsid w:val="00401DFB"/>
    <w:rsid w:val="00401FF6"/>
    <w:rsid w:val="00402488"/>
    <w:rsid w:val="00402677"/>
    <w:rsid w:val="0040358C"/>
    <w:rsid w:val="004041DC"/>
    <w:rsid w:val="004044E0"/>
    <w:rsid w:val="0040484C"/>
    <w:rsid w:val="0040498B"/>
    <w:rsid w:val="00404FFA"/>
    <w:rsid w:val="00405D0C"/>
    <w:rsid w:val="00406983"/>
    <w:rsid w:val="00406F5C"/>
    <w:rsid w:val="004071FE"/>
    <w:rsid w:val="00407D7F"/>
    <w:rsid w:val="004113FC"/>
    <w:rsid w:val="0041161F"/>
    <w:rsid w:val="00411F34"/>
    <w:rsid w:val="004122CF"/>
    <w:rsid w:val="004125EE"/>
    <w:rsid w:val="004127BD"/>
    <w:rsid w:val="00413653"/>
    <w:rsid w:val="00413F03"/>
    <w:rsid w:val="00414D93"/>
    <w:rsid w:val="00415248"/>
    <w:rsid w:val="004154CD"/>
    <w:rsid w:val="0041708A"/>
    <w:rsid w:val="0041758A"/>
    <w:rsid w:val="00417F28"/>
    <w:rsid w:val="00421332"/>
    <w:rsid w:val="00421824"/>
    <w:rsid w:val="00424CF8"/>
    <w:rsid w:val="00424EAC"/>
    <w:rsid w:val="004255A3"/>
    <w:rsid w:val="00426333"/>
    <w:rsid w:val="00426C34"/>
    <w:rsid w:val="00426D31"/>
    <w:rsid w:val="00427A48"/>
    <w:rsid w:val="00427B6B"/>
    <w:rsid w:val="004305E4"/>
    <w:rsid w:val="0043073E"/>
    <w:rsid w:val="00430F5F"/>
    <w:rsid w:val="004325F0"/>
    <w:rsid w:val="00433627"/>
    <w:rsid w:val="0043468C"/>
    <w:rsid w:val="00434BCE"/>
    <w:rsid w:val="00437006"/>
    <w:rsid w:val="004407CC"/>
    <w:rsid w:val="0044463D"/>
    <w:rsid w:val="00445C75"/>
    <w:rsid w:val="00446C56"/>
    <w:rsid w:val="00450281"/>
    <w:rsid w:val="00450369"/>
    <w:rsid w:val="0045095B"/>
    <w:rsid w:val="00452786"/>
    <w:rsid w:val="004536B8"/>
    <w:rsid w:val="00454FD2"/>
    <w:rsid w:val="00455ABC"/>
    <w:rsid w:val="00456E52"/>
    <w:rsid w:val="00457B2F"/>
    <w:rsid w:val="00460729"/>
    <w:rsid w:val="0046081F"/>
    <w:rsid w:val="00460A7B"/>
    <w:rsid w:val="00460A87"/>
    <w:rsid w:val="004622DC"/>
    <w:rsid w:val="00463413"/>
    <w:rsid w:val="004637D0"/>
    <w:rsid w:val="00463EA4"/>
    <w:rsid w:val="00465F47"/>
    <w:rsid w:val="00466510"/>
    <w:rsid w:val="00466B53"/>
    <w:rsid w:val="004675C2"/>
    <w:rsid w:val="004702E1"/>
    <w:rsid w:val="00470768"/>
    <w:rsid w:val="0047210D"/>
    <w:rsid w:val="00472B36"/>
    <w:rsid w:val="00472D68"/>
    <w:rsid w:val="00472F70"/>
    <w:rsid w:val="004741A1"/>
    <w:rsid w:val="00474248"/>
    <w:rsid w:val="004749BD"/>
    <w:rsid w:val="0047511D"/>
    <w:rsid w:val="00475EF7"/>
    <w:rsid w:val="00480B8F"/>
    <w:rsid w:val="0048369D"/>
    <w:rsid w:val="004838AE"/>
    <w:rsid w:val="00483C60"/>
    <w:rsid w:val="00484ED5"/>
    <w:rsid w:val="00485214"/>
    <w:rsid w:val="0048575B"/>
    <w:rsid w:val="00485E39"/>
    <w:rsid w:val="004876A2"/>
    <w:rsid w:val="0049025B"/>
    <w:rsid w:val="0049165E"/>
    <w:rsid w:val="00491CB1"/>
    <w:rsid w:val="00491F8A"/>
    <w:rsid w:val="00492AF1"/>
    <w:rsid w:val="00495849"/>
    <w:rsid w:val="004958F7"/>
    <w:rsid w:val="00496112"/>
    <w:rsid w:val="0049624A"/>
    <w:rsid w:val="0049630B"/>
    <w:rsid w:val="004977D3"/>
    <w:rsid w:val="004A0E55"/>
    <w:rsid w:val="004A1DEF"/>
    <w:rsid w:val="004A51E9"/>
    <w:rsid w:val="004A54EC"/>
    <w:rsid w:val="004A6609"/>
    <w:rsid w:val="004A69FB"/>
    <w:rsid w:val="004A6B7D"/>
    <w:rsid w:val="004A6BFC"/>
    <w:rsid w:val="004B0A96"/>
    <w:rsid w:val="004B0D14"/>
    <w:rsid w:val="004B0D72"/>
    <w:rsid w:val="004B244E"/>
    <w:rsid w:val="004B2C06"/>
    <w:rsid w:val="004B2E36"/>
    <w:rsid w:val="004B4447"/>
    <w:rsid w:val="004B50D9"/>
    <w:rsid w:val="004B5545"/>
    <w:rsid w:val="004B573E"/>
    <w:rsid w:val="004B6306"/>
    <w:rsid w:val="004B6AB4"/>
    <w:rsid w:val="004C101E"/>
    <w:rsid w:val="004C1416"/>
    <w:rsid w:val="004C1C2D"/>
    <w:rsid w:val="004C26CB"/>
    <w:rsid w:val="004C39F2"/>
    <w:rsid w:val="004C443D"/>
    <w:rsid w:val="004C44FA"/>
    <w:rsid w:val="004C67FD"/>
    <w:rsid w:val="004C6862"/>
    <w:rsid w:val="004C6AEC"/>
    <w:rsid w:val="004C6EBC"/>
    <w:rsid w:val="004C7511"/>
    <w:rsid w:val="004D0B22"/>
    <w:rsid w:val="004D0BA7"/>
    <w:rsid w:val="004D0CD7"/>
    <w:rsid w:val="004D0F40"/>
    <w:rsid w:val="004D18E3"/>
    <w:rsid w:val="004D1B60"/>
    <w:rsid w:val="004D21F5"/>
    <w:rsid w:val="004D357E"/>
    <w:rsid w:val="004D3D9C"/>
    <w:rsid w:val="004D51A5"/>
    <w:rsid w:val="004D5415"/>
    <w:rsid w:val="004D5E76"/>
    <w:rsid w:val="004D67AB"/>
    <w:rsid w:val="004D6C9C"/>
    <w:rsid w:val="004D7250"/>
    <w:rsid w:val="004D7B57"/>
    <w:rsid w:val="004E1EE1"/>
    <w:rsid w:val="004E245A"/>
    <w:rsid w:val="004E3290"/>
    <w:rsid w:val="004E3875"/>
    <w:rsid w:val="004E5BA4"/>
    <w:rsid w:val="004E6654"/>
    <w:rsid w:val="004E7813"/>
    <w:rsid w:val="004E78DB"/>
    <w:rsid w:val="004E7C95"/>
    <w:rsid w:val="004F0D4A"/>
    <w:rsid w:val="004F0F92"/>
    <w:rsid w:val="004F4444"/>
    <w:rsid w:val="004F6D83"/>
    <w:rsid w:val="004F724F"/>
    <w:rsid w:val="00500898"/>
    <w:rsid w:val="00502352"/>
    <w:rsid w:val="00502CC1"/>
    <w:rsid w:val="005047FC"/>
    <w:rsid w:val="00506B9A"/>
    <w:rsid w:val="00507203"/>
    <w:rsid w:val="0050751C"/>
    <w:rsid w:val="0050790D"/>
    <w:rsid w:val="005106C5"/>
    <w:rsid w:val="00511112"/>
    <w:rsid w:val="00511837"/>
    <w:rsid w:val="00511FEE"/>
    <w:rsid w:val="0051337A"/>
    <w:rsid w:val="0051431A"/>
    <w:rsid w:val="005148EE"/>
    <w:rsid w:val="00515AB0"/>
    <w:rsid w:val="00515B5A"/>
    <w:rsid w:val="0051688F"/>
    <w:rsid w:val="00516D39"/>
    <w:rsid w:val="00516FC2"/>
    <w:rsid w:val="0051738E"/>
    <w:rsid w:val="00517ECD"/>
    <w:rsid w:val="00520486"/>
    <w:rsid w:val="005216E1"/>
    <w:rsid w:val="005219A0"/>
    <w:rsid w:val="00521EA5"/>
    <w:rsid w:val="00523A01"/>
    <w:rsid w:val="005242FC"/>
    <w:rsid w:val="00524552"/>
    <w:rsid w:val="0052492E"/>
    <w:rsid w:val="00524EC8"/>
    <w:rsid w:val="005257C1"/>
    <w:rsid w:val="005257D2"/>
    <w:rsid w:val="00526FF1"/>
    <w:rsid w:val="00527251"/>
    <w:rsid w:val="0052786F"/>
    <w:rsid w:val="005300B7"/>
    <w:rsid w:val="0053033E"/>
    <w:rsid w:val="00530706"/>
    <w:rsid w:val="00531DD8"/>
    <w:rsid w:val="00532DA0"/>
    <w:rsid w:val="00534396"/>
    <w:rsid w:val="005347F9"/>
    <w:rsid w:val="00535C4C"/>
    <w:rsid w:val="005365CB"/>
    <w:rsid w:val="00536D2E"/>
    <w:rsid w:val="00537CD5"/>
    <w:rsid w:val="00537FAD"/>
    <w:rsid w:val="005408CF"/>
    <w:rsid w:val="005415A4"/>
    <w:rsid w:val="0054166B"/>
    <w:rsid w:val="00541B01"/>
    <w:rsid w:val="00541B50"/>
    <w:rsid w:val="00542612"/>
    <w:rsid w:val="00543106"/>
    <w:rsid w:val="00543AC3"/>
    <w:rsid w:val="00543B44"/>
    <w:rsid w:val="00543FAD"/>
    <w:rsid w:val="00543FC0"/>
    <w:rsid w:val="00544E5D"/>
    <w:rsid w:val="00545344"/>
    <w:rsid w:val="00545C2F"/>
    <w:rsid w:val="00546330"/>
    <w:rsid w:val="00546686"/>
    <w:rsid w:val="0054717C"/>
    <w:rsid w:val="00547C80"/>
    <w:rsid w:val="00550818"/>
    <w:rsid w:val="00550DC6"/>
    <w:rsid w:val="00552465"/>
    <w:rsid w:val="0055340F"/>
    <w:rsid w:val="0055358B"/>
    <w:rsid w:val="0055648F"/>
    <w:rsid w:val="005579B4"/>
    <w:rsid w:val="00557BF1"/>
    <w:rsid w:val="00557DC1"/>
    <w:rsid w:val="00560526"/>
    <w:rsid w:val="0056067D"/>
    <w:rsid w:val="0056074C"/>
    <w:rsid w:val="00560EBA"/>
    <w:rsid w:val="005649CD"/>
    <w:rsid w:val="00567380"/>
    <w:rsid w:val="005677E7"/>
    <w:rsid w:val="005700D5"/>
    <w:rsid w:val="0057177A"/>
    <w:rsid w:val="00573CCA"/>
    <w:rsid w:val="00573FF2"/>
    <w:rsid w:val="00576A20"/>
    <w:rsid w:val="00577465"/>
    <w:rsid w:val="00577A43"/>
    <w:rsid w:val="00577C7D"/>
    <w:rsid w:val="00577FAF"/>
    <w:rsid w:val="00582052"/>
    <w:rsid w:val="005828D3"/>
    <w:rsid w:val="00584247"/>
    <w:rsid w:val="005847BF"/>
    <w:rsid w:val="00585E31"/>
    <w:rsid w:val="005865C6"/>
    <w:rsid w:val="00587488"/>
    <w:rsid w:val="0059080E"/>
    <w:rsid w:val="00590D5C"/>
    <w:rsid w:val="005913EB"/>
    <w:rsid w:val="00593224"/>
    <w:rsid w:val="00593721"/>
    <w:rsid w:val="00593FB5"/>
    <w:rsid w:val="0059552A"/>
    <w:rsid w:val="00595682"/>
    <w:rsid w:val="00595F32"/>
    <w:rsid w:val="005A02B2"/>
    <w:rsid w:val="005A0416"/>
    <w:rsid w:val="005A0C0B"/>
    <w:rsid w:val="005A2A01"/>
    <w:rsid w:val="005A2EC5"/>
    <w:rsid w:val="005A308C"/>
    <w:rsid w:val="005A489F"/>
    <w:rsid w:val="005A61AA"/>
    <w:rsid w:val="005A7E07"/>
    <w:rsid w:val="005B080C"/>
    <w:rsid w:val="005B0F4C"/>
    <w:rsid w:val="005B283D"/>
    <w:rsid w:val="005B2918"/>
    <w:rsid w:val="005B3347"/>
    <w:rsid w:val="005B3FFC"/>
    <w:rsid w:val="005B43DC"/>
    <w:rsid w:val="005B49F7"/>
    <w:rsid w:val="005B5ECF"/>
    <w:rsid w:val="005B6DB5"/>
    <w:rsid w:val="005B7326"/>
    <w:rsid w:val="005B7874"/>
    <w:rsid w:val="005C0C4D"/>
    <w:rsid w:val="005C1451"/>
    <w:rsid w:val="005C17D5"/>
    <w:rsid w:val="005C1B16"/>
    <w:rsid w:val="005C1BB1"/>
    <w:rsid w:val="005C1C85"/>
    <w:rsid w:val="005C3B40"/>
    <w:rsid w:val="005C44EB"/>
    <w:rsid w:val="005C4566"/>
    <w:rsid w:val="005C495C"/>
    <w:rsid w:val="005C52C9"/>
    <w:rsid w:val="005C5B60"/>
    <w:rsid w:val="005C7E1D"/>
    <w:rsid w:val="005D00D4"/>
    <w:rsid w:val="005D061E"/>
    <w:rsid w:val="005D15E9"/>
    <w:rsid w:val="005D1CFA"/>
    <w:rsid w:val="005D2283"/>
    <w:rsid w:val="005D2782"/>
    <w:rsid w:val="005D2A2C"/>
    <w:rsid w:val="005D2AC6"/>
    <w:rsid w:val="005D3F9F"/>
    <w:rsid w:val="005D494F"/>
    <w:rsid w:val="005D4AF0"/>
    <w:rsid w:val="005D5981"/>
    <w:rsid w:val="005D6347"/>
    <w:rsid w:val="005D6AE6"/>
    <w:rsid w:val="005D6D01"/>
    <w:rsid w:val="005D70D7"/>
    <w:rsid w:val="005D7AF3"/>
    <w:rsid w:val="005E0760"/>
    <w:rsid w:val="005E0F99"/>
    <w:rsid w:val="005E11B5"/>
    <w:rsid w:val="005E12AA"/>
    <w:rsid w:val="005E270F"/>
    <w:rsid w:val="005E2FED"/>
    <w:rsid w:val="005E5B7F"/>
    <w:rsid w:val="005E65BF"/>
    <w:rsid w:val="005E65D9"/>
    <w:rsid w:val="005E65E8"/>
    <w:rsid w:val="005E72A8"/>
    <w:rsid w:val="005E7A18"/>
    <w:rsid w:val="005F05DB"/>
    <w:rsid w:val="005F0A75"/>
    <w:rsid w:val="005F1CAB"/>
    <w:rsid w:val="005F43C4"/>
    <w:rsid w:val="005F4538"/>
    <w:rsid w:val="005F4CE8"/>
    <w:rsid w:val="005F5233"/>
    <w:rsid w:val="00600357"/>
    <w:rsid w:val="00600738"/>
    <w:rsid w:val="0060155A"/>
    <w:rsid w:val="00601848"/>
    <w:rsid w:val="00601FE8"/>
    <w:rsid w:val="00602A39"/>
    <w:rsid w:val="006038E1"/>
    <w:rsid w:val="00603FB6"/>
    <w:rsid w:val="00605B22"/>
    <w:rsid w:val="00605F1E"/>
    <w:rsid w:val="00606C25"/>
    <w:rsid w:val="00607353"/>
    <w:rsid w:val="00607B38"/>
    <w:rsid w:val="00607F60"/>
    <w:rsid w:val="0061182F"/>
    <w:rsid w:val="006122DE"/>
    <w:rsid w:val="006126CF"/>
    <w:rsid w:val="00613158"/>
    <w:rsid w:val="0061325E"/>
    <w:rsid w:val="006134ED"/>
    <w:rsid w:val="00613863"/>
    <w:rsid w:val="00614083"/>
    <w:rsid w:val="0061609A"/>
    <w:rsid w:val="00616257"/>
    <w:rsid w:val="00617B58"/>
    <w:rsid w:val="00621F20"/>
    <w:rsid w:val="00622160"/>
    <w:rsid w:val="00622381"/>
    <w:rsid w:val="006225E8"/>
    <w:rsid w:val="00622E2A"/>
    <w:rsid w:val="006230DB"/>
    <w:rsid w:val="00624899"/>
    <w:rsid w:val="00625380"/>
    <w:rsid w:val="00625BCE"/>
    <w:rsid w:val="0063068F"/>
    <w:rsid w:val="006315C1"/>
    <w:rsid w:val="0063168E"/>
    <w:rsid w:val="00631DC8"/>
    <w:rsid w:val="00632BA5"/>
    <w:rsid w:val="006334E7"/>
    <w:rsid w:val="00634BFA"/>
    <w:rsid w:val="00635062"/>
    <w:rsid w:val="00637716"/>
    <w:rsid w:val="00637AD7"/>
    <w:rsid w:val="00645311"/>
    <w:rsid w:val="00645688"/>
    <w:rsid w:val="006459C5"/>
    <w:rsid w:val="00645F01"/>
    <w:rsid w:val="0064630F"/>
    <w:rsid w:val="00647464"/>
    <w:rsid w:val="00647555"/>
    <w:rsid w:val="00647C72"/>
    <w:rsid w:val="006507EF"/>
    <w:rsid w:val="00651F2A"/>
    <w:rsid w:val="00654311"/>
    <w:rsid w:val="006548FC"/>
    <w:rsid w:val="0065499E"/>
    <w:rsid w:val="00654D55"/>
    <w:rsid w:val="00655373"/>
    <w:rsid w:val="00656DF0"/>
    <w:rsid w:val="00660E64"/>
    <w:rsid w:val="006622E3"/>
    <w:rsid w:val="0066279E"/>
    <w:rsid w:val="00666EE8"/>
    <w:rsid w:val="006701DF"/>
    <w:rsid w:val="00671019"/>
    <w:rsid w:val="006714F9"/>
    <w:rsid w:val="006715C8"/>
    <w:rsid w:val="00671996"/>
    <w:rsid w:val="006725F0"/>
    <w:rsid w:val="0067267D"/>
    <w:rsid w:val="00672B21"/>
    <w:rsid w:val="00673007"/>
    <w:rsid w:val="006746FA"/>
    <w:rsid w:val="0067474F"/>
    <w:rsid w:val="006757FD"/>
    <w:rsid w:val="006765B7"/>
    <w:rsid w:val="00676727"/>
    <w:rsid w:val="0067758A"/>
    <w:rsid w:val="0067762C"/>
    <w:rsid w:val="00680687"/>
    <w:rsid w:val="00680944"/>
    <w:rsid w:val="006809B5"/>
    <w:rsid w:val="0068216F"/>
    <w:rsid w:val="00682762"/>
    <w:rsid w:val="00682B40"/>
    <w:rsid w:val="0068385F"/>
    <w:rsid w:val="00684559"/>
    <w:rsid w:val="00684ACA"/>
    <w:rsid w:val="00684AFF"/>
    <w:rsid w:val="00684BC7"/>
    <w:rsid w:val="006859AB"/>
    <w:rsid w:val="00686261"/>
    <w:rsid w:val="00687642"/>
    <w:rsid w:val="006877BA"/>
    <w:rsid w:val="00687B7E"/>
    <w:rsid w:val="006900B5"/>
    <w:rsid w:val="006909AB"/>
    <w:rsid w:val="0069357C"/>
    <w:rsid w:val="00693CC5"/>
    <w:rsid w:val="00695857"/>
    <w:rsid w:val="00695E25"/>
    <w:rsid w:val="0069607F"/>
    <w:rsid w:val="006960E9"/>
    <w:rsid w:val="00696612"/>
    <w:rsid w:val="00697F8C"/>
    <w:rsid w:val="006A0539"/>
    <w:rsid w:val="006A0AD3"/>
    <w:rsid w:val="006A1BE7"/>
    <w:rsid w:val="006A1C04"/>
    <w:rsid w:val="006A36F9"/>
    <w:rsid w:val="006A3D52"/>
    <w:rsid w:val="006A4E72"/>
    <w:rsid w:val="006A618C"/>
    <w:rsid w:val="006A6AB1"/>
    <w:rsid w:val="006A7719"/>
    <w:rsid w:val="006A7D36"/>
    <w:rsid w:val="006B071A"/>
    <w:rsid w:val="006B120F"/>
    <w:rsid w:val="006B1B7F"/>
    <w:rsid w:val="006B2AFF"/>
    <w:rsid w:val="006B2CAD"/>
    <w:rsid w:val="006B2F0A"/>
    <w:rsid w:val="006B3966"/>
    <w:rsid w:val="006B5799"/>
    <w:rsid w:val="006B6048"/>
    <w:rsid w:val="006B6203"/>
    <w:rsid w:val="006B6C05"/>
    <w:rsid w:val="006B6FC1"/>
    <w:rsid w:val="006B73CE"/>
    <w:rsid w:val="006C0D27"/>
    <w:rsid w:val="006C1232"/>
    <w:rsid w:val="006C185A"/>
    <w:rsid w:val="006C1988"/>
    <w:rsid w:val="006C5300"/>
    <w:rsid w:val="006C5494"/>
    <w:rsid w:val="006D063C"/>
    <w:rsid w:val="006D186B"/>
    <w:rsid w:val="006D1FC0"/>
    <w:rsid w:val="006D2969"/>
    <w:rsid w:val="006D451B"/>
    <w:rsid w:val="006D47C6"/>
    <w:rsid w:val="006D4DAD"/>
    <w:rsid w:val="006D5029"/>
    <w:rsid w:val="006D66FE"/>
    <w:rsid w:val="006D7FAE"/>
    <w:rsid w:val="006E0555"/>
    <w:rsid w:val="006E05F6"/>
    <w:rsid w:val="006E09FB"/>
    <w:rsid w:val="006E20CC"/>
    <w:rsid w:val="006E2CBC"/>
    <w:rsid w:val="006E2FAE"/>
    <w:rsid w:val="006E3B4E"/>
    <w:rsid w:val="006E581B"/>
    <w:rsid w:val="006E59E2"/>
    <w:rsid w:val="006F0873"/>
    <w:rsid w:val="006F0C58"/>
    <w:rsid w:val="006F1CFC"/>
    <w:rsid w:val="006F2605"/>
    <w:rsid w:val="006F280A"/>
    <w:rsid w:val="006F29B8"/>
    <w:rsid w:val="006F44FB"/>
    <w:rsid w:val="006F4ACD"/>
    <w:rsid w:val="006F57B6"/>
    <w:rsid w:val="006F5DB9"/>
    <w:rsid w:val="006F5EE5"/>
    <w:rsid w:val="006F67A4"/>
    <w:rsid w:val="006F758A"/>
    <w:rsid w:val="006F7F20"/>
    <w:rsid w:val="00700AF2"/>
    <w:rsid w:val="0070121D"/>
    <w:rsid w:val="007014CE"/>
    <w:rsid w:val="007017C5"/>
    <w:rsid w:val="00701E4D"/>
    <w:rsid w:val="00702336"/>
    <w:rsid w:val="007026FF"/>
    <w:rsid w:val="00702ADB"/>
    <w:rsid w:val="007034C6"/>
    <w:rsid w:val="00703ED7"/>
    <w:rsid w:val="00705402"/>
    <w:rsid w:val="007059A6"/>
    <w:rsid w:val="00705C17"/>
    <w:rsid w:val="0070601C"/>
    <w:rsid w:val="00706C64"/>
    <w:rsid w:val="00710D11"/>
    <w:rsid w:val="00710D92"/>
    <w:rsid w:val="00711DBA"/>
    <w:rsid w:val="00712095"/>
    <w:rsid w:val="00712335"/>
    <w:rsid w:val="00712752"/>
    <w:rsid w:val="0071337F"/>
    <w:rsid w:val="00720ACD"/>
    <w:rsid w:val="00720CF6"/>
    <w:rsid w:val="00723A84"/>
    <w:rsid w:val="00723E91"/>
    <w:rsid w:val="00725B7A"/>
    <w:rsid w:val="00725BA5"/>
    <w:rsid w:val="00725FF4"/>
    <w:rsid w:val="00726063"/>
    <w:rsid w:val="00726131"/>
    <w:rsid w:val="007261B1"/>
    <w:rsid w:val="007269CF"/>
    <w:rsid w:val="00726A47"/>
    <w:rsid w:val="00727EA5"/>
    <w:rsid w:val="00732293"/>
    <w:rsid w:val="00735554"/>
    <w:rsid w:val="00736850"/>
    <w:rsid w:val="00736AD2"/>
    <w:rsid w:val="00736C0B"/>
    <w:rsid w:val="00736EF6"/>
    <w:rsid w:val="00737047"/>
    <w:rsid w:val="00737417"/>
    <w:rsid w:val="007377DD"/>
    <w:rsid w:val="0074095C"/>
    <w:rsid w:val="00740A05"/>
    <w:rsid w:val="00741570"/>
    <w:rsid w:val="007427A7"/>
    <w:rsid w:val="007432AD"/>
    <w:rsid w:val="00743465"/>
    <w:rsid w:val="00745D47"/>
    <w:rsid w:val="0075050D"/>
    <w:rsid w:val="00750AF1"/>
    <w:rsid w:val="007613D5"/>
    <w:rsid w:val="00761B86"/>
    <w:rsid w:val="0076334A"/>
    <w:rsid w:val="0076351E"/>
    <w:rsid w:val="00763558"/>
    <w:rsid w:val="00763743"/>
    <w:rsid w:val="0076380D"/>
    <w:rsid w:val="007640A2"/>
    <w:rsid w:val="00764123"/>
    <w:rsid w:val="00764189"/>
    <w:rsid w:val="00766733"/>
    <w:rsid w:val="007670B4"/>
    <w:rsid w:val="00767446"/>
    <w:rsid w:val="007679E7"/>
    <w:rsid w:val="00770BEA"/>
    <w:rsid w:val="00773B05"/>
    <w:rsid w:val="0077426F"/>
    <w:rsid w:val="00774EAC"/>
    <w:rsid w:val="00775DAC"/>
    <w:rsid w:val="00775DF4"/>
    <w:rsid w:val="00777D57"/>
    <w:rsid w:val="00777D6E"/>
    <w:rsid w:val="00777E09"/>
    <w:rsid w:val="00780E73"/>
    <w:rsid w:val="00782928"/>
    <w:rsid w:val="007843F0"/>
    <w:rsid w:val="0078468D"/>
    <w:rsid w:val="0078502A"/>
    <w:rsid w:val="007857D2"/>
    <w:rsid w:val="0078699E"/>
    <w:rsid w:val="00787F03"/>
    <w:rsid w:val="00790B79"/>
    <w:rsid w:val="00791C9E"/>
    <w:rsid w:val="007923AB"/>
    <w:rsid w:val="00792612"/>
    <w:rsid w:val="00792B14"/>
    <w:rsid w:val="00792D34"/>
    <w:rsid w:val="00793AC4"/>
    <w:rsid w:val="00794204"/>
    <w:rsid w:val="00795392"/>
    <w:rsid w:val="00796040"/>
    <w:rsid w:val="00796220"/>
    <w:rsid w:val="0079640D"/>
    <w:rsid w:val="0079772D"/>
    <w:rsid w:val="007A164E"/>
    <w:rsid w:val="007A17C0"/>
    <w:rsid w:val="007A2166"/>
    <w:rsid w:val="007A260F"/>
    <w:rsid w:val="007A3169"/>
    <w:rsid w:val="007A37D3"/>
    <w:rsid w:val="007A3FD0"/>
    <w:rsid w:val="007A457A"/>
    <w:rsid w:val="007A5BD2"/>
    <w:rsid w:val="007A7431"/>
    <w:rsid w:val="007B036F"/>
    <w:rsid w:val="007B1D3B"/>
    <w:rsid w:val="007B2BEC"/>
    <w:rsid w:val="007B4294"/>
    <w:rsid w:val="007B48DF"/>
    <w:rsid w:val="007B56FE"/>
    <w:rsid w:val="007B5847"/>
    <w:rsid w:val="007B7091"/>
    <w:rsid w:val="007B75DE"/>
    <w:rsid w:val="007C0A7D"/>
    <w:rsid w:val="007C0BF8"/>
    <w:rsid w:val="007C0D11"/>
    <w:rsid w:val="007C17DD"/>
    <w:rsid w:val="007C1CD2"/>
    <w:rsid w:val="007C2000"/>
    <w:rsid w:val="007C2E1E"/>
    <w:rsid w:val="007C4720"/>
    <w:rsid w:val="007C4C56"/>
    <w:rsid w:val="007C5C13"/>
    <w:rsid w:val="007C6078"/>
    <w:rsid w:val="007C70A7"/>
    <w:rsid w:val="007C73A1"/>
    <w:rsid w:val="007C742D"/>
    <w:rsid w:val="007D1451"/>
    <w:rsid w:val="007D1F4E"/>
    <w:rsid w:val="007D1FF4"/>
    <w:rsid w:val="007D4AEE"/>
    <w:rsid w:val="007D4CA7"/>
    <w:rsid w:val="007D4E58"/>
    <w:rsid w:val="007D62FA"/>
    <w:rsid w:val="007D7751"/>
    <w:rsid w:val="007D79DC"/>
    <w:rsid w:val="007E1BE2"/>
    <w:rsid w:val="007E22C3"/>
    <w:rsid w:val="007E36A2"/>
    <w:rsid w:val="007E3BA3"/>
    <w:rsid w:val="007E462C"/>
    <w:rsid w:val="007E4EE8"/>
    <w:rsid w:val="007E5576"/>
    <w:rsid w:val="007E58A6"/>
    <w:rsid w:val="007E64D1"/>
    <w:rsid w:val="007E7828"/>
    <w:rsid w:val="007F0695"/>
    <w:rsid w:val="007F0987"/>
    <w:rsid w:val="007F1763"/>
    <w:rsid w:val="007F45D1"/>
    <w:rsid w:val="007F5050"/>
    <w:rsid w:val="007F622B"/>
    <w:rsid w:val="007F63E8"/>
    <w:rsid w:val="007F6CB6"/>
    <w:rsid w:val="00800FA4"/>
    <w:rsid w:val="00801153"/>
    <w:rsid w:val="00801692"/>
    <w:rsid w:val="008024DB"/>
    <w:rsid w:val="00802C0D"/>
    <w:rsid w:val="00802C92"/>
    <w:rsid w:val="00802DBB"/>
    <w:rsid w:val="008035D7"/>
    <w:rsid w:val="00805526"/>
    <w:rsid w:val="0080592F"/>
    <w:rsid w:val="0080624B"/>
    <w:rsid w:val="00806B63"/>
    <w:rsid w:val="00807DAF"/>
    <w:rsid w:val="008101ED"/>
    <w:rsid w:val="008108B9"/>
    <w:rsid w:val="008109C1"/>
    <w:rsid w:val="00811AFA"/>
    <w:rsid w:val="00812044"/>
    <w:rsid w:val="008137B0"/>
    <w:rsid w:val="00814759"/>
    <w:rsid w:val="00814FD1"/>
    <w:rsid w:val="00815056"/>
    <w:rsid w:val="00815BD8"/>
    <w:rsid w:val="00815CBC"/>
    <w:rsid w:val="008227F8"/>
    <w:rsid w:val="00824471"/>
    <w:rsid w:val="00824491"/>
    <w:rsid w:val="00830E9A"/>
    <w:rsid w:val="008336A2"/>
    <w:rsid w:val="00833F09"/>
    <w:rsid w:val="00835EC3"/>
    <w:rsid w:val="00835EF6"/>
    <w:rsid w:val="00836248"/>
    <w:rsid w:val="00836838"/>
    <w:rsid w:val="00841984"/>
    <w:rsid w:val="00842C09"/>
    <w:rsid w:val="00842FEC"/>
    <w:rsid w:val="008438AE"/>
    <w:rsid w:val="0084479D"/>
    <w:rsid w:val="00845CAC"/>
    <w:rsid w:val="00846908"/>
    <w:rsid w:val="0084701E"/>
    <w:rsid w:val="008470EA"/>
    <w:rsid w:val="0084790E"/>
    <w:rsid w:val="00850C7A"/>
    <w:rsid w:val="00852DE6"/>
    <w:rsid w:val="0085300F"/>
    <w:rsid w:val="00854640"/>
    <w:rsid w:val="00857150"/>
    <w:rsid w:val="008619B1"/>
    <w:rsid w:val="00861CED"/>
    <w:rsid w:val="00862D68"/>
    <w:rsid w:val="00863C06"/>
    <w:rsid w:val="008676BE"/>
    <w:rsid w:val="00870FE4"/>
    <w:rsid w:val="00872E67"/>
    <w:rsid w:val="008735C7"/>
    <w:rsid w:val="00874903"/>
    <w:rsid w:val="00875208"/>
    <w:rsid w:val="0087633A"/>
    <w:rsid w:val="0088120A"/>
    <w:rsid w:val="0088168E"/>
    <w:rsid w:val="00881ABE"/>
    <w:rsid w:val="008826BE"/>
    <w:rsid w:val="00885E86"/>
    <w:rsid w:val="00885EC5"/>
    <w:rsid w:val="00886214"/>
    <w:rsid w:val="008879D2"/>
    <w:rsid w:val="00887CE8"/>
    <w:rsid w:val="008901F2"/>
    <w:rsid w:val="00890798"/>
    <w:rsid w:val="00890FFE"/>
    <w:rsid w:val="008914A1"/>
    <w:rsid w:val="00892D87"/>
    <w:rsid w:val="008954B6"/>
    <w:rsid w:val="008954FE"/>
    <w:rsid w:val="0089575C"/>
    <w:rsid w:val="00895BBA"/>
    <w:rsid w:val="00896ECA"/>
    <w:rsid w:val="0089775F"/>
    <w:rsid w:val="00897D82"/>
    <w:rsid w:val="008A0215"/>
    <w:rsid w:val="008A134D"/>
    <w:rsid w:val="008A1665"/>
    <w:rsid w:val="008A20C4"/>
    <w:rsid w:val="008A2158"/>
    <w:rsid w:val="008A3609"/>
    <w:rsid w:val="008A3903"/>
    <w:rsid w:val="008A4D2D"/>
    <w:rsid w:val="008A5CD8"/>
    <w:rsid w:val="008A62F6"/>
    <w:rsid w:val="008A6F06"/>
    <w:rsid w:val="008A7A99"/>
    <w:rsid w:val="008B0D33"/>
    <w:rsid w:val="008B12C7"/>
    <w:rsid w:val="008B1EA7"/>
    <w:rsid w:val="008B3646"/>
    <w:rsid w:val="008B4806"/>
    <w:rsid w:val="008B4F07"/>
    <w:rsid w:val="008B793C"/>
    <w:rsid w:val="008C00E4"/>
    <w:rsid w:val="008C2544"/>
    <w:rsid w:val="008C2E58"/>
    <w:rsid w:val="008C3978"/>
    <w:rsid w:val="008C39D8"/>
    <w:rsid w:val="008C3F49"/>
    <w:rsid w:val="008C40BA"/>
    <w:rsid w:val="008C47E5"/>
    <w:rsid w:val="008C5173"/>
    <w:rsid w:val="008C5797"/>
    <w:rsid w:val="008C646B"/>
    <w:rsid w:val="008D0E33"/>
    <w:rsid w:val="008D21D9"/>
    <w:rsid w:val="008D246E"/>
    <w:rsid w:val="008D3120"/>
    <w:rsid w:val="008D452A"/>
    <w:rsid w:val="008D4C88"/>
    <w:rsid w:val="008D553A"/>
    <w:rsid w:val="008D6143"/>
    <w:rsid w:val="008D71C9"/>
    <w:rsid w:val="008D79B5"/>
    <w:rsid w:val="008E199E"/>
    <w:rsid w:val="008E19BC"/>
    <w:rsid w:val="008E274E"/>
    <w:rsid w:val="008E27C2"/>
    <w:rsid w:val="008E2DF7"/>
    <w:rsid w:val="008E31B9"/>
    <w:rsid w:val="008E3CA3"/>
    <w:rsid w:val="008E4091"/>
    <w:rsid w:val="008E4FA0"/>
    <w:rsid w:val="008E7757"/>
    <w:rsid w:val="008F021C"/>
    <w:rsid w:val="008F024F"/>
    <w:rsid w:val="008F1ED2"/>
    <w:rsid w:val="008F2FF0"/>
    <w:rsid w:val="008F3758"/>
    <w:rsid w:val="008F3F5F"/>
    <w:rsid w:val="008F4EF4"/>
    <w:rsid w:val="008F5D7C"/>
    <w:rsid w:val="008F66A1"/>
    <w:rsid w:val="008F73E0"/>
    <w:rsid w:val="009001C1"/>
    <w:rsid w:val="00902B04"/>
    <w:rsid w:val="0090351E"/>
    <w:rsid w:val="009038D7"/>
    <w:rsid w:val="00904785"/>
    <w:rsid w:val="00904EBD"/>
    <w:rsid w:val="00905D8F"/>
    <w:rsid w:val="009114A9"/>
    <w:rsid w:val="0091382B"/>
    <w:rsid w:val="00914112"/>
    <w:rsid w:val="009143F9"/>
    <w:rsid w:val="00914462"/>
    <w:rsid w:val="00915F64"/>
    <w:rsid w:val="009171EE"/>
    <w:rsid w:val="009174F0"/>
    <w:rsid w:val="00920496"/>
    <w:rsid w:val="0092095E"/>
    <w:rsid w:val="00921263"/>
    <w:rsid w:val="0092178C"/>
    <w:rsid w:val="009219BC"/>
    <w:rsid w:val="0092230C"/>
    <w:rsid w:val="00923745"/>
    <w:rsid w:val="00926C8A"/>
    <w:rsid w:val="00930BDB"/>
    <w:rsid w:val="00931576"/>
    <w:rsid w:val="00934768"/>
    <w:rsid w:val="009348D1"/>
    <w:rsid w:val="00934C4D"/>
    <w:rsid w:val="00941523"/>
    <w:rsid w:val="00942C65"/>
    <w:rsid w:val="0094303F"/>
    <w:rsid w:val="00943157"/>
    <w:rsid w:val="00944454"/>
    <w:rsid w:val="009444A8"/>
    <w:rsid w:val="009458E6"/>
    <w:rsid w:val="00946471"/>
    <w:rsid w:val="00946D61"/>
    <w:rsid w:val="00946E9A"/>
    <w:rsid w:val="009475EF"/>
    <w:rsid w:val="0095069E"/>
    <w:rsid w:val="0095088F"/>
    <w:rsid w:val="00950EFB"/>
    <w:rsid w:val="009524CD"/>
    <w:rsid w:val="0095253F"/>
    <w:rsid w:val="009541EB"/>
    <w:rsid w:val="00957C0C"/>
    <w:rsid w:val="00960082"/>
    <w:rsid w:val="00961B29"/>
    <w:rsid w:val="00962588"/>
    <w:rsid w:val="00962F90"/>
    <w:rsid w:val="00963709"/>
    <w:rsid w:val="00965284"/>
    <w:rsid w:val="009652CB"/>
    <w:rsid w:val="00965F97"/>
    <w:rsid w:val="00966EF8"/>
    <w:rsid w:val="0096737D"/>
    <w:rsid w:val="00967C3D"/>
    <w:rsid w:val="00970606"/>
    <w:rsid w:val="00972328"/>
    <w:rsid w:val="009728C0"/>
    <w:rsid w:val="00976871"/>
    <w:rsid w:val="00976E42"/>
    <w:rsid w:val="0097715A"/>
    <w:rsid w:val="00977B15"/>
    <w:rsid w:val="00981F0E"/>
    <w:rsid w:val="009828C9"/>
    <w:rsid w:val="00984331"/>
    <w:rsid w:val="00986C39"/>
    <w:rsid w:val="009901E5"/>
    <w:rsid w:val="00990A37"/>
    <w:rsid w:val="00991C46"/>
    <w:rsid w:val="00991F51"/>
    <w:rsid w:val="009921D8"/>
    <w:rsid w:val="0099287E"/>
    <w:rsid w:val="00992988"/>
    <w:rsid w:val="00992FB5"/>
    <w:rsid w:val="00993052"/>
    <w:rsid w:val="00994DF9"/>
    <w:rsid w:val="00995032"/>
    <w:rsid w:val="00997B52"/>
    <w:rsid w:val="00997F7B"/>
    <w:rsid w:val="009A1832"/>
    <w:rsid w:val="009A2A2F"/>
    <w:rsid w:val="009A2CD9"/>
    <w:rsid w:val="009A51CA"/>
    <w:rsid w:val="009A595B"/>
    <w:rsid w:val="009A6273"/>
    <w:rsid w:val="009A70EB"/>
    <w:rsid w:val="009A74AE"/>
    <w:rsid w:val="009B076E"/>
    <w:rsid w:val="009B1FF4"/>
    <w:rsid w:val="009B2625"/>
    <w:rsid w:val="009B27DD"/>
    <w:rsid w:val="009B41E2"/>
    <w:rsid w:val="009B6884"/>
    <w:rsid w:val="009B7203"/>
    <w:rsid w:val="009B74AB"/>
    <w:rsid w:val="009B7BB7"/>
    <w:rsid w:val="009C1C8B"/>
    <w:rsid w:val="009C3DFC"/>
    <w:rsid w:val="009C4B81"/>
    <w:rsid w:val="009C5780"/>
    <w:rsid w:val="009C67A1"/>
    <w:rsid w:val="009C6B8D"/>
    <w:rsid w:val="009C7319"/>
    <w:rsid w:val="009C7388"/>
    <w:rsid w:val="009D0FE4"/>
    <w:rsid w:val="009D1285"/>
    <w:rsid w:val="009D141D"/>
    <w:rsid w:val="009D29CA"/>
    <w:rsid w:val="009D2FE6"/>
    <w:rsid w:val="009D3054"/>
    <w:rsid w:val="009D31FF"/>
    <w:rsid w:val="009D3C8E"/>
    <w:rsid w:val="009E132E"/>
    <w:rsid w:val="009E15DE"/>
    <w:rsid w:val="009E1D91"/>
    <w:rsid w:val="009E201E"/>
    <w:rsid w:val="009E3A82"/>
    <w:rsid w:val="009E4085"/>
    <w:rsid w:val="009E61C8"/>
    <w:rsid w:val="009E6254"/>
    <w:rsid w:val="009E6442"/>
    <w:rsid w:val="009E675C"/>
    <w:rsid w:val="009F0344"/>
    <w:rsid w:val="009F103D"/>
    <w:rsid w:val="009F1A11"/>
    <w:rsid w:val="009F2AC8"/>
    <w:rsid w:val="009F3E0F"/>
    <w:rsid w:val="009F49DD"/>
    <w:rsid w:val="009F4C2E"/>
    <w:rsid w:val="009F4D8D"/>
    <w:rsid w:val="009F4DBB"/>
    <w:rsid w:val="009F6102"/>
    <w:rsid w:val="00A00D57"/>
    <w:rsid w:val="00A016F9"/>
    <w:rsid w:val="00A02946"/>
    <w:rsid w:val="00A02A80"/>
    <w:rsid w:val="00A030A6"/>
    <w:rsid w:val="00A03824"/>
    <w:rsid w:val="00A058CB"/>
    <w:rsid w:val="00A05EA3"/>
    <w:rsid w:val="00A07623"/>
    <w:rsid w:val="00A1027B"/>
    <w:rsid w:val="00A104B7"/>
    <w:rsid w:val="00A10B63"/>
    <w:rsid w:val="00A121F5"/>
    <w:rsid w:val="00A131B7"/>
    <w:rsid w:val="00A13D00"/>
    <w:rsid w:val="00A14EFD"/>
    <w:rsid w:val="00A169C8"/>
    <w:rsid w:val="00A17170"/>
    <w:rsid w:val="00A214A2"/>
    <w:rsid w:val="00A21739"/>
    <w:rsid w:val="00A2450D"/>
    <w:rsid w:val="00A31B91"/>
    <w:rsid w:val="00A327B3"/>
    <w:rsid w:val="00A3294D"/>
    <w:rsid w:val="00A33882"/>
    <w:rsid w:val="00A340EC"/>
    <w:rsid w:val="00A34881"/>
    <w:rsid w:val="00A348C9"/>
    <w:rsid w:val="00A34A9E"/>
    <w:rsid w:val="00A36B00"/>
    <w:rsid w:val="00A36BA3"/>
    <w:rsid w:val="00A417C2"/>
    <w:rsid w:val="00A41D2B"/>
    <w:rsid w:val="00A4256F"/>
    <w:rsid w:val="00A42639"/>
    <w:rsid w:val="00A45351"/>
    <w:rsid w:val="00A463FB"/>
    <w:rsid w:val="00A46B14"/>
    <w:rsid w:val="00A478C1"/>
    <w:rsid w:val="00A50A63"/>
    <w:rsid w:val="00A529A9"/>
    <w:rsid w:val="00A52D95"/>
    <w:rsid w:val="00A53213"/>
    <w:rsid w:val="00A5680F"/>
    <w:rsid w:val="00A56C7C"/>
    <w:rsid w:val="00A575A2"/>
    <w:rsid w:val="00A57627"/>
    <w:rsid w:val="00A60233"/>
    <w:rsid w:val="00A6227D"/>
    <w:rsid w:val="00A6286C"/>
    <w:rsid w:val="00A636FE"/>
    <w:rsid w:val="00A6376E"/>
    <w:rsid w:val="00A63ACF"/>
    <w:rsid w:val="00A64570"/>
    <w:rsid w:val="00A66639"/>
    <w:rsid w:val="00A66C4E"/>
    <w:rsid w:val="00A66F6B"/>
    <w:rsid w:val="00A67944"/>
    <w:rsid w:val="00A67F62"/>
    <w:rsid w:val="00A703F1"/>
    <w:rsid w:val="00A70DA3"/>
    <w:rsid w:val="00A719E0"/>
    <w:rsid w:val="00A71CA5"/>
    <w:rsid w:val="00A72065"/>
    <w:rsid w:val="00A721A5"/>
    <w:rsid w:val="00A7248F"/>
    <w:rsid w:val="00A77B35"/>
    <w:rsid w:val="00A8066A"/>
    <w:rsid w:val="00A810F7"/>
    <w:rsid w:val="00A81125"/>
    <w:rsid w:val="00A81DE9"/>
    <w:rsid w:val="00A83231"/>
    <w:rsid w:val="00A83A5A"/>
    <w:rsid w:val="00A83A87"/>
    <w:rsid w:val="00A83A9E"/>
    <w:rsid w:val="00A83B32"/>
    <w:rsid w:val="00A845C4"/>
    <w:rsid w:val="00A8481C"/>
    <w:rsid w:val="00A84C23"/>
    <w:rsid w:val="00A856E5"/>
    <w:rsid w:val="00A8610D"/>
    <w:rsid w:val="00A8691A"/>
    <w:rsid w:val="00A90BB1"/>
    <w:rsid w:val="00A92D43"/>
    <w:rsid w:val="00A94C89"/>
    <w:rsid w:val="00A956A9"/>
    <w:rsid w:val="00A9727A"/>
    <w:rsid w:val="00A9758C"/>
    <w:rsid w:val="00A97BC3"/>
    <w:rsid w:val="00AA019C"/>
    <w:rsid w:val="00AA02A5"/>
    <w:rsid w:val="00AA063D"/>
    <w:rsid w:val="00AA2065"/>
    <w:rsid w:val="00AA2817"/>
    <w:rsid w:val="00AA3700"/>
    <w:rsid w:val="00AA38DE"/>
    <w:rsid w:val="00AA424B"/>
    <w:rsid w:val="00AA4BE3"/>
    <w:rsid w:val="00AA4E23"/>
    <w:rsid w:val="00AA4FE0"/>
    <w:rsid w:val="00AA5A12"/>
    <w:rsid w:val="00AA5E53"/>
    <w:rsid w:val="00AA6691"/>
    <w:rsid w:val="00AA6818"/>
    <w:rsid w:val="00AA6F1C"/>
    <w:rsid w:val="00AA7FFB"/>
    <w:rsid w:val="00AB02F3"/>
    <w:rsid w:val="00AB10F7"/>
    <w:rsid w:val="00AB14EA"/>
    <w:rsid w:val="00AB17CC"/>
    <w:rsid w:val="00AB382E"/>
    <w:rsid w:val="00AB3BDC"/>
    <w:rsid w:val="00AB3BE8"/>
    <w:rsid w:val="00AB3F8A"/>
    <w:rsid w:val="00AB50EC"/>
    <w:rsid w:val="00AB6405"/>
    <w:rsid w:val="00AC070B"/>
    <w:rsid w:val="00AC0991"/>
    <w:rsid w:val="00AC103D"/>
    <w:rsid w:val="00AC13F7"/>
    <w:rsid w:val="00AC14A2"/>
    <w:rsid w:val="00AC1803"/>
    <w:rsid w:val="00AC3617"/>
    <w:rsid w:val="00AD052F"/>
    <w:rsid w:val="00AD0FD9"/>
    <w:rsid w:val="00AD1491"/>
    <w:rsid w:val="00AD158A"/>
    <w:rsid w:val="00AD1F15"/>
    <w:rsid w:val="00AD3323"/>
    <w:rsid w:val="00AD3EB3"/>
    <w:rsid w:val="00AD56C2"/>
    <w:rsid w:val="00AD5C5F"/>
    <w:rsid w:val="00AD7C14"/>
    <w:rsid w:val="00AE04C4"/>
    <w:rsid w:val="00AE17F0"/>
    <w:rsid w:val="00AE2299"/>
    <w:rsid w:val="00AE481D"/>
    <w:rsid w:val="00AE509A"/>
    <w:rsid w:val="00AE7CE9"/>
    <w:rsid w:val="00AF2064"/>
    <w:rsid w:val="00AF24E8"/>
    <w:rsid w:val="00AF32BC"/>
    <w:rsid w:val="00AF40C6"/>
    <w:rsid w:val="00AF4484"/>
    <w:rsid w:val="00AF4B76"/>
    <w:rsid w:val="00AF7691"/>
    <w:rsid w:val="00B00267"/>
    <w:rsid w:val="00B00326"/>
    <w:rsid w:val="00B012FF"/>
    <w:rsid w:val="00B0155E"/>
    <w:rsid w:val="00B03392"/>
    <w:rsid w:val="00B03595"/>
    <w:rsid w:val="00B03779"/>
    <w:rsid w:val="00B05AA2"/>
    <w:rsid w:val="00B06CF4"/>
    <w:rsid w:val="00B10F3E"/>
    <w:rsid w:val="00B11211"/>
    <w:rsid w:val="00B11FED"/>
    <w:rsid w:val="00B1362B"/>
    <w:rsid w:val="00B15460"/>
    <w:rsid w:val="00B15DCF"/>
    <w:rsid w:val="00B1674B"/>
    <w:rsid w:val="00B1744D"/>
    <w:rsid w:val="00B175EE"/>
    <w:rsid w:val="00B1766A"/>
    <w:rsid w:val="00B17D2F"/>
    <w:rsid w:val="00B20D69"/>
    <w:rsid w:val="00B21510"/>
    <w:rsid w:val="00B21BD2"/>
    <w:rsid w:val="00B21E40"/>
    <w:rsid w:val="00B22511"/>
    <w:rsid w:val="00B253C8"/>
    <w:rsid w:val="00B253E2"/>
    <w:rsid w:val="00B254EE"/>
    <w:rsid w:val="00B265EC"/>
    <w:rsid w:val="00B26EE7"/>
    <w:rsid w:val="00B27AB1"/>
    <w:rsid w:val="00B27E78"/>
    <w:rsid w:val="00B334AC"/>
    <w:rsid w:val="00B3380F"/>
    <w:rsid w:val="00B34A5B"/>
    <w:rsid w:val="00B34A8F"/>
    <w:rsid w:val="00B34D9A"/>
    <w:rsid w:val="00B3539E"/>
    <w:rsid w:val="00B373D8"/>
    <w:rsid w:val="00B37DC8"/>
    <w:rsid w:val="00B4076D"/>
    <w:rsid w:val="00B41A93"/>
    <w:rsid w:val="00B44676"/>
    <w:rsid w:val="00B44869"/>
    <w:rsid w:val="00B45C50"/>
    <w:rsid w:val="00B47361"/>
    <w:rsid w:val="00B4756B"/>
    <w:rsid w:val="00B47AB1"/>
    <w:rsid w:val="00B50387"/>
    <w:rsid w:val="00B50652"/>
    <w:rsid w:val="00B50984"/>
    <w:rsid w:val="00B51F43"/>
    <w:rsid w:val="00B523E2"/>
    <w:rsid w:val="00B526B1"/>
    <w:rsid w:val="00B52AE6"/>
    <w:rsid w:val="00B52B59"/>
    <w:rsid w:val="00B53875"/>
    <w:rsid w:val="00B53DEA"/>
    <w:rsid w:val="00B54C9C"/>
    <w:rsid w:val="00B56414"/>
    <w:rsid w:val="00B5657F"/>
    <w:rsid w:val="00B579E9"/>
    <w:rsid w:val="00B57C75"/>
    <w:rsid w:val="00B57DB9"/>
    <w:rsid w:val="00B607BD"/>
    <w:rsid w:val="00B612EC"/>
    <w:rsid w:val="00B644FC"/>
    <w:rsid w:val="00B66332"/>
    <w:rsid w:val="00B66B56"/>
    <w:rsid w:val="00B66BAF"/>
    <w:rsid w:val="00B67806"/>
    <w:rsid w:val="00B67D3F"/>
    <w:rsid w:val="00B70C09"/>
    <w:rsid w:val="00B70C9C"/>
    <w:rsid w:val="00B713E2"/>
    <w:rsid w:val="00B71559"/>
    <w:rsid w:val="00B723B7"/>
    <w:rsid w:val="00B725EB"/>
    <w:rsid w:val="00B72F99"/>
    <w:rsid w:val="00B737C9"/>
    <w:rsid w:val="00B73985"/>
    <w:rsid w:val="00B74662"/>
    <w:rsid w:val="00B749B7"/>
    <w:rsid w:val="00B74A28"/>
    <w:rsid w:val="00B75BA6"/>
    <w:rsid w:val="00B75EB7"/>
    <w:rsid w:val="00B761FC"/>
    <w:rsid w:val="00B765CB"/>
    <w:rsid w:val="00B774A0"/>
    <w:rsid w:val="00B7757B"/>
    <w:rsid w:val="00B7783F"/>
    <w:rsid w:val="00B8045B"/>
    <w:rsid w:val="00B81081"/>
    <w:rsid w:val="00B826AB"/>
    <w:rsid w:val="00B82F94"/>
    <w:rsid w:val="00B834EF"/>
    <w:rsid w:val="00B83541"/>
    <w:rsid w:val="00B84A90"/>
    <w:rsid w:val="00B84E1F"/>
    <w:rsid w:val="00B84FCC"/>
    <w:rsid w:val="00B85A17"/>
    <w:rsid w:val="00B863AB"/>
    <w:rsid w:val="00B9066E"/>
    <w:rsid w:val="00B9213E"/>
    <w:rsid w:val="00B9348E"/>
    <w:rsid w:val="00B957B9"/>
    <w:rsid w:val="00B95AB7"/>
    <w:rsid w:val="00B96993"/>
    <w:rsid w:val="00B971F7"/>
    <w:rsid w:val="00B97671"/>
    <w:rsid w:val="00B97B95"/>
    <w:rsid w:val="00BA00F7"/>
    <w:rsid w:val="00BA0D02"/>
    <w:rsid w:val="00BA0FA5"/>
    <w:rsid w:val="00BA10D9"/>
    <w:rsid w:val="00BA1BA3"/>
    <w:rsid w:val="00BA2A04"/>
    <w:rsid w:val="00BA31E6"/>
    <w:rsid w:val="00BA36EF"/>
    <w:rsid w:val="00BA592D"/>
    <w:rsid w:val="00BA60E5"/>
    <w:rsid w:val="00BA6E6B"/>
    <w:rsid w:val="00BA7002"/>
    <w:rsid w:val="00BB00A7"/>
    <w:rsid w:val="00BB0AFE"/>
    <w:rsid w:val="00BB11BD"/>
    <w:rsid w:val="00BB1AE7"/>
    <w:rsid w:val="00BB2FAB"/>
    <w:rsid w:val="00BB34AC"/>
    <w:rsid w:val="00BB35F1"/>
    <w:rsid w:val="00BB36D2"/>
    <w:rsid w:val="00BB518F"/>
    <w:rsid w:val="00BB65B9"/>
    <w:rsid w:val="00BB6613"/>
    <w:rsid w:val="00BB79A4"/>
    <w:rsid w:val="00BC0D86"/>
    <w:rsid w:val="00BC1E70"/>
    <w:rsid w:val="00BC1EC6"/>
    <w:rsid w:val="00BC231B"/>
    <w:rsid w:val="00BC2C09"/>
    <w:rsid w:val="00BC3067"/>
    <w:rsid w:val="00BC363D"/>
    <w:rsid w:val="00BC38E0"/>
    <w:rsid w:val="00BC3DE3"/>
    <w:rsid w:val="00BC6A91"/>
    <w:rsid w:val="00BC7BB1"/>
    <w:rsid w:val="00BC7EE3"/>
    <w:rsid w:val="00BD0756"/>
    <w:rsid w:val="00BD0D0F"/>
    <w:rsid w:val="00BD1C99"/>
    <w:rsid w:val="00BD4B21"/>
    <w:rsid w:val="00BD6FF1"/>
    <w:rsid w:val="00BD71F8"/>
    <w:rsid w:val="00BE0250"/>
    <w:rsid w:val="00BE0730"/>
    <w:rsid w:val="00BE4754"/>
    <w:rsid w:val="00BE582E"/>
    <w:rsid w:val="00BE5E0D"/>
    <w:rsid w:val="00BE62A9"/>
    <w:rsid w:val="00BE6CAC"/>
    <w:rsid w:val="00BE7108"/>
    <w:rsid w:val="00BF3A26"/>
    <w:rsid w:val="00BF49D5"/>
    <w:rsid w:val="00BF77B6"/>
    <w:rsid w:val="00C004A1"/>
    <w:rsid w:val="00C00DE8"/>
    <w:rsid w:val="00C0191B"/>
    <w:rsid w:val="00C023B5"/>
    <w:rsid w:val="00C02A2A"/>
    <w:rsid w:val="00C03C7A"/>
    <w:rsid w:val="00C045AD"/>
    <w:rsid w:val="00C0480E"/>
    <w:rsid w:val="00C04F0F"/>
    <w:rsid w:val="00C0577E"/>
    <w:rsid w:val="00C05DD5"/>
    <w:rsid w:val="00C067EC"/>
    <w:rsid w:val="00C06DC9"/>
    <w:rsid w:val="00C12138"/>
    <w:rsid w:val="00C124E7"/>
    <w:rsid w:val="00C15D52"/>
    <w:rsid w:val="00C17499"/>
    <w:rsid w:val="00C175CE"/>
    <w:rsid w:val="00C17825"/>
    <w:rsid w:val="00C20928"/>
    <w:rsid w:val="00C218D1"/>
    <w:rsid w:val="00C23234"/>
    <w:rsid w:val="00C237F0"/>
    <w:rsid w:val="00C25A25"/>
    <w:rsid w:val="00C263CF"/>
    <w:rsid w:val="00C27448"/>
    <w:rsid w:val="00C27CF9"/>
    <w:rsid w:val="00C30364"/>
    <w:rsid w:val="00C31C8F"/>
    <w:rsid w:val="00C347C9"/>
    <w:rsid w:val="00C355BE"/>
    <w:rsid w:val="00C35AFB"/>
    <w:rsid w:val="00C36661"/>
    <w:rsid w:val="00C36A22"/>
    <w:rsid w:val="00C36E9A"/>
    <w:rsid w:val="00C4172B"/>
    <w:rsid w:val="00C4175C"/>
    <w:rsid w:val="00C41D2A"/>
    <w:rsid w:val="00C43081"/>
    <w:rsid w:val="00C4575C"/>
    <w:rsid w:val="00C45D35"/>
    <w:rsid w:val="00C47B5A"/>
    <w:rsid w:val="00C502B9"/>
    <w:rsid w:val="00C52D62"/>
    <w:rsid w:val="00C53E5E"/>
    <w:rsid w:val="00C541D9"/>
    <w:rsid w:val="00C54735"/>
    <w:rsid w:val="00C5520A"/>
    <w:rsid w:val="00C5556D"/>
    <w:rsid w:val="00C56426"/>
    <w:rsid w:val="00C56B03"/>
    <w:rsid w:val="00C57BA3"/>
    <w:rsid w:val="00C607B9"/>
    <w:rsid w:val="00C61B44"/>
    <w:rsid w:val="00C63DBE"/>
    <w:rsid w:val="00C643F6"/>
    <w:rsid w:val="00C657E4"/>
    <w:rsid w:val="00C65C15"/>
    <w:rsid w:val="00C67AAB"/>
    <w:rsid w:val="00C67E04"/>
    <w:rsid w:val="00C708FC"/>
    <w:rsid w:val="00C70D07"/>
    <w:rsid w:val="00C722DA"/>
    <w:rsid w:val="00C727EC"/>
    <w:rsid w:val="00C74912"/>
    <w:rsid w:val="00C74953"/>
    <w:rsid w:val="00C76607"/>
    <w:rsid w:val="00C77634"/>
    <w:rsid w:val="00C776EE"/>
    <w:rsid w:val="00C82948"/>
    <w:rsid w:val="00C83553"/>
    <w:rsid w:val="00C83718"/>
    <w:rsid w:val="00C845B0"/>
    <w:rsid w:val="00C85211"/>
    <w:rsid w:val="00C85BF4"/>
    <w:rsid w:val="00C85ECE"/>
    <w:rsid w:val="00C9081A"/>
    <w:rsid w:val="00C90D06"/>
    <w:rsid w:val="00C90F08"/>
    <w:rsid w:val="00C91345"/>
    <w:rsid w:val="00C935CF"/>
    <w:rsid w:val="00C93EE9"/>
    <w:rsid w:val="00CA022D"/>
    <w:rsid w:val="00CA0E5F"/>
    <w:rsid w:val="00CA1B42"/>
    <w:rsid w:val="00CA1D66"/>
    <w:rsid w:val="00CA1E5D"/>
    <w:rsid w:val="00CA1EA5"/>
    <w:rsid w:val="00CA45E4"/>
    <w:rsid w:val="00CA5162"/>
    <w:rsid w:val="00CA5801"/>
    <w:rsid w:val="00CA6D19"/>
    <w:rsid w:val="00CB0BF4"/>
    <w:rsid w:val="00CB13BC"/>
    <w:rsid w:val="00CB1D22"/>
    <w:rsid w:val="00CB1EB8"/>
    <w:rsid w:val="00CB2E66"/>
    <w:rsid w:val="00CB5FB3"/>
    <w:rsid w:val="00CB6482"/>
    <w:rsid w:val="00CB6E77"/>
    <w:rsid w:val="00CC03A5"/>
    <w:rsid w:val="00CC1BB3"/>
    <w:rsid w:val="00CC225C"/>
    <w:rsid w:val="00CC27F8"/>
    <w:rsid w:val="00CC2F98"/>
    <w:rsid w:val="00CC36D0"/>
    <w:rsid w:val="00CC3A91"/>
    <w:rsid w:val="00CC3FF9"/>
    <w:rsid w:val="00CC6D85"/>
    <w:rsid w:val="00CC6F5A"/>
    <w:rsid w:val="00CC723C"/>
    <w:rsid w:val="00CD2370"/>
    <w:rsid w:val="00CD24A0"/>
    <w:rsid w:val="00CD29E6"/>
    <w:rsid w:val="00CD35FE"/>
    <w:rsid w:val="00CD36A3"/>
    <w:rsid w:val="00CD3821"/>
    <w:rsid w:val="00CD594A"/>
    <w:rsid w:val="00CD6230"/>
    <w:rsid w:val="00CD7F12"/>
    <w:rsid w:val="00CE0309"/>
    <w:rsid w:val="00CE10A7"/>
    <w:rsid w:val="00CE14D0"/>
    <w:rsid w:val="00CE18C9"/>
    <w:rsid w:val="00CE18FE"/>
    <w:rsid w:val="00CE1D17"/>
    <w:rsid w:val="00CE2CA8"/>
    <w:rsid w:val="00CE5287"/>
    <w:rsid w:val="00CE52CF"/>
    <w:rsid w:val="00CE6EFA"/>
    <w:rsid w:val="00CE7D94"/>
    <w:rsid w:val="00CF0720"/>
    <w:rsid w:val="00CF1893"/>
    <w:rsid w:val="00CF3CC3"/>
    <w:rsid w:val="00CF53D6"/>
    <w:rsid w:val="00CF5740"/>
    <w:rsid w:val="00CF6359"/>
    <w:rsid w:val="00CF7BEF"/>
    <w:rsid w:val="00CF7D0A"/>
    <w:rsid w:val="00D00655"/>
    <w:rsid w:val="00D0067B"/>
    <w:rsid w:val="00D0109C"/>
    <w:rsid w:val="00D0413D"/>
    <w:rsid w:val="00D05CB8"/>
    <w:rsid w:val="00D078E2"/>
    <w:rsid w:val="00D07A98"/>
    <w:rsid w:val="00D10207"/>
    <w:rsid w:val="00D12F6C"/>
    <w:rsid w:val="00D134F4"/>
    <w:rsid w:val="00D14624"/>
    <w:rsid w:val="00D15DE5"/>
    <w:rsid w:val="00D16502"/>
    <w:rsid w:val="00D206B2"/>
    <w:rsid w:val="00D21515"/>
    <w:rsid w:val="00D220FF"/>
    <w:rsid w:val="00D23749"/>
    <w:rsid w:val="00D23C8D"/>
    <w:rsid w:val="00D24E93"/>
    <w:rsid w:val="00D25127"/>
    <w:rsid w:val="00D26816"/>
    <w:rsid w:val="00D27180"/>
    <w:rsid w:val="00D27884"/>
    <w:rsid w:val="00D30900"/>
    <w:rsid w:val="00D30F56"/>
    <w:rsid w:val="00D314C6"/>
    <w:rsid w:val="00D320EE"/>
    <w:rsid w:val="00D33BAE"/>
    <w:rsid w:val="00D3419F"/>
    <w:rsid w:val="00D347C4"/>
    <w:rsid w:val="00D348D9"/>
    <w:rsid w:val="00D35010"/>
    <w:rsid w:val="00D35017"/>
    <w:rsid w:val="00D36663"/>
    <w:rsid w:val="00D37CE4"/>
    <w:rsid w:val="00D40076"/>
    <w:rsid w:val="00D4141F"/>
    <w:rsid w:val="00D4163F"/>
    <w:rsid w:val="00D41820"/>
    <w:rsid w:val="00D44190"/>
    <w:rsid w:val="00D467E3"/>
    <w:rsid w:val="00D504FB"/>
    <w:rsid w:val="00D51E17"/>
    <w:rsid w:val="00D522A2"/>
    <w:rsid w:val="00D54450"/>
    <w:rsid w:val="00D55A3E"/>
    <w:rsid w:val="00D55B71"/>
    <w:rsid w:val="00D568D8"/>
    <w:rsid w:val="00D570FA"/>
    <w:rsid w:val="00D571BD"/>
    <w:rsid w:val="00D57C7A"/>
    <w:rsid w:val="00D6011A"/>
    <w:rsid w:val="00D620D1"/>
    <w:rsid w:val="00D62689"/>
    <w:rsid w:val="00D63667"/>
    <w:rsid w:val="00D64341"/>
    <w:rsid w:val="00D65DE9"/>
    <w:rsid w:val="00D65E10"/>
    <w:rsid w:val="00D66442"/>
    <w:rsid w:val="00D67AFE"/>
    <w:rsid w:val="00D7029A"/>
    <w:rsid w:val="00D70735"/>
    <w:rsid w:val="00D721E7"/>
    <w:rsid w:val="00D73A72"/>
    <w:rsid w:val="00D751A1"/>
    <w:rsid w:val="00D7610D"/>
    <w:rsid w:val="00D7734D"/>
    <w:rsid w:val="00D77A30"/>
    <w:rsid w:val="00D803A2"/>
    <w:rsid w:val="00D80885"/>
    <w:rsid w:val="00D813CA"/>
    <w:rsid w:val="00D81987"/>
    <w:rsid w:val="00D81A69"/>
    <w:rsid w:val="00D81DAC"/>
    <w:rsid w:val="00D82629"/>
    <w:rsid w:val="00D830C7"/>
    <w:rsid w:val="00D84EAD"/>
    <w:rsid w:val="00D9013C"/>
    <w:rsid w:val="00D91211"/>
    <w:rsid w:val="00D912E0"/>
    <w:rsid w:val="00D91C05"/>
    <w:rsid w:val="00D928D0"/>
    <w:rsid w:val="00D93F12"/>
    <w:rsid w:val="00D94CE1"/>
    <w:rsid w:val="00D959F0"/>
    <w:rsid w:val="00D97BE7"/>
    <w:rsid w:val="00DA045B"/>
    <w:rsid w:val="00DA1157"/>
    <w:rsid w:val="00DA1E9D"/>
    <w:rsid w:val="00DA2A07"/>
    <w:rsid w:val="00DA4373"/>
    <w:rsid w:val="00DA4FB4"/>
    <w:rsid w:val="00DA607F"/>
    <w:rsid w:val="00DA618E"/>
    <w:rsid w:val="00DA673A"/>
    <w:rsid w:val="00DA6EB5"/>
    <w:rsid w:val="00DA7784"/>
    <w:rsid w:val="00DB00E8"/>
    <w:rsid w:val="00DB06F5"/>
    <w:rsid w:val="00DB0B48"/>
    <w:rsid w:val="00DB0BB7"/>
    <w:rsid w:val="00DB0CC7"/>
    <w:rsid w:val="00DB108C"/>
    <w:rsid w:val="00DB227A"/>
    <w:rsid w:val="00DB2367"/>
    <w:rsid w:val="00DB398B"/>
    <w:rsid w:val="00DB4235"/>
    <w:rsid w:val="00DB53B7"/>
    <w:rsid w:val="00DB5567"/>
    <w:rsid w:val="00DB6F5A"/>
    <w:rsid w:val="00DB770C"/>
    <w:rsid w:val="00DC085D"/>
    <w:rsid w:val="00DC0E3A"/>
    <w:rsid w:val="00DC12C9"/>
    <w:rsid w:val="00DC1769"/>
    <w:rsid w:val="00DC1934"/>
    <w:rsid w:val="00DC1BF7"/>
    <w:rsid w:val="00DC1C7C"/>
    <w:rsid w:val="00DC2123"/>
    <w:rsid w:val="00DC2A38"/>
    <w:rsid w:val="00DC31B6"/>
    <w:rsid w:val="00DC35C6"/>
    <w:rsid w:val="00DC45A8"/>
    <w:rsid w:val="00DC5123"/>
    <w:rsid w:val="00DC6078"/>
    <w:rsid w:val="00DC7E98"/>
    <w:rsid w:val="00DD1784"/>
    <w:rsid w:val="00DD217E"/>
    <w:rsid w:val="00DD2A88"/>
    <w:rsid w:val="00DD4265"/>
    <w:rsid w:val="00DD4C47"/>
    <w:rsid w:val="00DD54DA"/>
    <w:rsid w:val="00DD5D23"/>
    <w:rsid w:val="00DD6F2E"/>
    <w:rsid w:val="00DE19BD"/>
    <w:rsid w:val="00DE1CC1"/>
    <w:rsid w:val="00DE283A"/>
    <w:rsid w:val="00DE2DC7"/>
    <w:rsid w:val="00DE2FF9"/>
    <w:rsid w:val="00DE4FCB"/>
    <w:rsid w:val="00DE52E6"/>
    <w:rsid w:val="00DE5CB4"/>
    <w:rsid w:val="00DE6222"/>
    <w:rsid w:val="00DE6435"/>
    <w:rsid w:val="00DE7018"/>
    <w:rsid w:val="00DE7335"/>
    <w:rsid w:val="00DF0428"/>
    <w:rsid w:val="00DF1C1A"/>
    <w:rsid w:val="00DF1CBB"/>
    <w:rsid w:val="00DF225D"/>
    <w:rsid w:val="00DF2A42"/>
    <w:rsid w:val="00DF3402"/>
    <w:rsid w:val="00DF428A"/>
    <w:rsid w:val="00DF7A13"/>
    <w:rsid w:val="00DF7B16"/>
    <w:rsid w:val="00DF7FCF"/>
    <w:rsid w:val="00E01A50"/>
    <w:rsid w:val="00E01FB1"/>
    <w:rsid w:val="00E02295"/>
    <w:rsid w:val="00E029DA"/>
    <w:rsid w:val="00E02A1D"/>
    <w:rsid w:val="00E02E03"/>
    <w:rsid w:val="00E03590"/>
    <w:rsid w:val="00E03CFA"/>
    <w:rsid w:val="00E03FD4"/>
    <w:rsid w:val="00E04242"/>
    <w:rsid w:val="00E04951"/>
    <w:rsid w:val="00E04B98"/>
    <w:rsid w:val="00E04DA8"/>
    <w:rsid w:val="00E05F6A"/>
    <w:rsid w:val="00E063DE"/>
    <w:rsid w:val="00E064DC"/>
    <w:rsid w:val="00E10633"/>
    <w:rsid w:val="00E11684"/>
    <w:rsid w:val="00E11A21"/>
    <w:rsid w:val="00E12031"/>
    <w:rsid w:val="00E120C3"/>
    <w:rsid w:val="00E12C9E"/>
    <w:rsid w:val="00E12CD1"/>
    <w:rsid w:val="00E1397C"/>
    <w:rsid w:val="00E139C0"/>
    <w:rsid w:val="00E14E03"/>
    <w:rsid w:val="00E163C4"/>
    <w:rsid w:val="00E16A1F"/>
    <w:rsid w:val="00E16D0E"/>
    <w:rsid w:val="00E17C2A"/>
    <w:rsid w:val="00E17CAD"/>
    <w:rsid w:val="00E17CCB"/>
    <w:rsid w:val="00E21FC0"/>
    <w:rsid w:val="00E22294"/>
    <w:rsid w:val="00E222FB"/>
    <w:rsid w:val="00E2380E"/>
    <w:rsid w:val="00E23CCC"/>
    <w:rsid w:val="00E23D83"/>
    <w:rsid w:val="00E249FE"/>
    <w:rsid w:val="00E24B37"/>
    <w:rsid w:val="00E25913"/>
    <w:rsid w:val="00E266A3"/>
    <w:rsid w:val="00E27344"/>
    <w:rsid w:val="00E302BC"/>
    <w:rsid w:val="00E30CC4"/>
    <w:rsid w:val="00E3173F"/>
    <w:rsid w:val="00E31BF9"/>
    <w:rsid w:val="00E31CB3"/>
    <w:rsid w:val="00E32226"/>
    <w:rsid w:val="00E3316F"/>
    <w:rsid w:val="00E34A75"/>
    <w:rsid w:val="00E34E9C"/>
    <w:rsid w:val="00E359F9"/>
    <w:rsid w:val="00E36AC4"/>
    <w:rsid w:val="00E40582"/>
    <w:rsid w:val="00E41AA3"/>
    <w:rsid w:val="00E422E1"/>
    <w:rsid w:val="00E447D8"/>
    <w:rsid w:val="00E44A12"/>
    <w:rsid w:val="00E468A3"/>
    <w:rsid w:val="00E46A1F"/>
    <w:rsid w:val="00E47803"/>
    <w:rsid w:val="00E50E7D"/>
    <w:rsid w:val="00E50F04"/>
    <w:rsid w:val="00E53D76"/>
    <w:rsid w:val="00E54900"/>
    <w:rsid w:val="00E54E94"/>
    <w:rsid w:val="00E5521C"/>
    <w:rsid w:val="00E555A4"/>
    <w:rsid w:val="00E56448"/>
    <w:rsid w:val="00E577EE"/>
    <w:rsid w:val="00E57C37"/>
    <w:rsid w:val="00E60092"/>
    <w:rsid w:val="00E60E18"/>
    <w:rsid w:val="00E62EFF"/>
    <w:rsid w:val="00E643DC"/>
    <w:rsid w:val="00E64637"/>
    <w:rsid w:val="00E659EB"/>
    <w:rsid w:val="00E65DB6"/>
    <w:rsid w:val="00E65F48"/>
    <w:rsid w:val="00E66223"/>
    <w:rsid w:val="00E708CB"/>
    <w:rsid w:val="00E70A33"/>
    <w:rsid w:val="00E732DA"/>
    <w:rsid w:val="00E738A1"/>
    <w:rsid w:val="00E739EB"/>
    <w:rsid w:val="00E73BB2"/>
    <w:rsid w:val="00E77BB0"/>
    <w:rsid w:val="00E80234"/>
    <w:rsid w:val="00E80599"/>
    <w:rsid w:val="00E810CC"/>
    <w:rsid w:val="00E81876"/>
    <w:rsid w:val="00E82CEA"/>
    <w:rsid w:val="00E83DFF"/>
    <w:rsid w:val="00E84010"/>
    <w:rsid w:val="00E84699"/>
    <w:rsid w:val="00E86372"/>
    <w:rsid w:val="00E86DDE"/>
    <w:rsid w:val="00E86FFB"/>
    <w:rsid w:val="00E870D4"/>
    <w:rsid w:val="00E9025E"/>
    <w:rsid w:val="00E9044A"/>
    <w:rsid w:val="00E915C2"/>
    <w:rsid w:val="00E91A0C"/>
    <w:rsid w:val="00E92C72"/>
    <w:rsid w:val="00E92DB3"/>
    <w:rsid w:val="00E939EC"/>
    <w:rsid w:val="00E94856"/>
    <w:rsid w:val="00E94978"/>
    <w:rsid w:val="00E949F6"/>
    <w:rsid w:val="00E94F83"/>
    <w:rsid w:val="00E95995"/>
    <w:rsid w:val="00E95C99"/>
    <w:rsid w:val="00E9669E"/>
    <w:rsid w:val="00E97D9E"/>
    <w:rsid w:val="00EA0330"/>
    <w:rsid w:val="00EA0BC8"/>
    <w:rsid w:val="00EA18DA"/>
    <w:rsid w:val="00EA262B"/>
    <w:rsid w:val="00EA380E"/>
    <w:rsid w:val="00EA3E90"/>
    <w:rsid w:val="00EA47C7"/>
    <w:rsid w:val="00EA4ACC"/>
    <w:rsid w:val="00EA5BDF"/>
    <w:rsid w:val="00EA6578"/>
    <w:rsid w:val="00EA7756"/>
    <w:rsid w:val="00EB09D0"/>
    <w:rsid w:val="00EB1223"/>
    <w:rsid w:val="00EB2DD5"/>
    <w:rsid w:val="00EB3645"/>
    <w:rsid w:val="00EB3B33"/>
    <w:rsid w:val="00EB3DA4"/>
    <w:rsid w:val="00EB591D"/>
    <w:rsid w:val="00EB60FF"/>
    <w:rsid w:val="00EB6F7C"/>
    <w:rsid w:val="00EB6FA2"/>
    <w:rsid w:val="00EB7F5D"/>
    <w:rsid w:val="00EC0FFB"/>
    <w:rsid w:val="00EC2089"/>
    <w:rsid w:val="00EC514B"/>
    <w:rsid w:val="00EC65F7"/>
    <w:rsid w:val="00EC667A"/>
    <w:rsid w:val="00EC6E5E"/>
    <w:rsid w:val="00EC7468"/>
    <w:rsid w:val="00ED1EE1"/>
    <w:rsid w:val="00ED22F6"/>
    <w:rsid w:val="00ED2366"/>
    <w:rsid w:val="00ED358E"/>
    <w:rsid w:val="00ED389E"/>
    <w:rsid w:val="00ED3953"/>
    <w:rsid w:val="00ED545D"/>
    <w:rsid w:val="00ED54B0"/>
    <w:rsid w:val="00ED5802"/>
    <w:rsid w:val="00ED7E20"/>
    <w:rsid w:val="00EE0D8F"/>
    <w:rsid w:val="00EE19F2"/>
    <w:rsid w:val="00EE2C5A"/>
    <w:rsid w:val="00EE6FFA"/>
    <w:rsid w:val="00EE729B"/>
    <w:rsid w:val="00EE7F56"/>
    <w:rsid w:val="00EF1DCD"/>
    <w:rsid w:val="00EF1F87"/>
    <w:rsid w:val="00EF4021"/>
    <w:rsid w:val="00EF41DE"/>
    <w:rsid w:val="00EF483C"/>
    <w:rsid w:val="00EF5004"/>
    <w:rsid w:val="00EF5FA9"/>
    <w:rsid w:val="00EF6250"/>
    <w:rsid w:val="00EF6B8A"/>
    <w:rsid w:val="00F00013"/>
    <w:rsid w:val="00F00047"/>
    <w:rsid w:val="00F00789"/>
    <w:rsid w:val="00F012FD"/>
    <w:rsid w:val="00F0330A"/>
    <w:rsid w:val="00F043C9"/>
    <w:rsid w:val="00F060ED"/>
    <w:rsid w:val="00F06309"/>
    <w:rsid w:val="00F06CAE"/>
    <w:rsid w:val="00F06CB4"/>
    <w:rsid w:val="00F07F24"/>
    <w:rsid w:val="00F10AB1"/>
    <w:rsid w:val="00F111CE"/>
    <w:rsid w:val="00F118D3"/>
    <w:rsid w:val="00F1192A"/>
    <w:rsid w:val="00F13E6A"/>
    <w:rsid w:val="00F14557"/>
    <w:rsid w:val="00F149E4"/>
    <w:rsid w:val="00F14DA4"/>
    <w:rsid w:val="00F15864"/>
    <w:rsid w:val="00F1605F"/>
    <w:rsid w:val="00F165FE"/>
    <w:rsid w:val="00F16D05"/>
    <w:rsid w:val="00F171D6"/>
    <w:rsid w:val="00F17937"/>
    <w:rsid w:val="00F17BAD"/>
    <w:rsid w:val="00F17FDD"/>
    <w:rsid w:val="00F20A9C"/>
    <w:rsid w:val="00F21464"/>
    <w:rsid w:val="00F21752"/>
    <w:rsid w:val="00F221B5"/>
    <w:rsid w:val="00F23EA2"/>
    <w:rsid w:val="00F240D8"/>
    <w:rsid w:val="00F247ED"/>
    <w:rsid w:val="00F248A3"/>
    <w:rsid w:val="00F25C5B"/>
    <w:rsid w:val="00F278A6"/>
    <w:rsid w:val="00F32B51"/>
    <w:rsid w:val="00F33376"/>
    <w:rsid w:val="00F362BA"/>
    <w:rsid w:val="00F36FBE"/>
    <w:rsid w:val="00F37420"/>
    <w:rsid w:val="00F408EA"/>
    <w:rsid w:val="00F40FA9"/>
    <w:rsid w:val="00F41181"/>
    <w:rsid w:val="00F428F4"/>
    <w:rsid w:val="00F42CD1"/>
    <w:rsid w:val="00F42DD2"/>
    <w:rsid w:val="00F44CC0"/>
    <w:rsid w:val="00F45651"/>
    <w:rsid w:val="00F47D23"/>
    <w:rsid w:val="00F502B8"/>
    <w:rsid w:val="00F50D42"/>
    <w:rsid w:val="00F51144"/>
    <w:rsid w:val="00F51227"/>
    <w:rsid w:val="00F51D5E"/>
    <w:rsid w:val="00F52A06"/>
    <w:rsid w:val="00F52B38"/>
    <w:rsid w:val="00F5627F"/>
    <w:rsid w:val="00F62B98"/>
    <w:rsid w:val="00F63729"/>
    <w:rsid w:val="00F650C5"/>
    <w:rsid w:val="00F6572C"/>
    <w:rsid w:val="00F6599E"/>
    <w:rsid w:val="00F65F67"/>
    <w:rsid w:val="00F704FB"/>
    <w:rsid w:val="00F70672"/>
    <w:rsid w:val="00F7184D"/>
    <w:rsid w:val="00F72C55"/>
    <w:rsid w:val="00F72D70"/>
    <w:rsid w:val="00F73C3C"/>
    <w:rsid w:val="00F740B2"/>
    <w:rsid w:val="00F75029"/>
    <w:rsid w:val="00F75284"/>
    <w:rsid w:val="00F75403"/>
    <w:rsid w:val="00F77C36"/>
    <w:rsid w:val="00F80739"/>
    <w:rsid w:val="00F80AF4"/>
    <w:rsid w:val="00F811CD"/>
    <w:rsid w:val="00F81C9A"/>
    <w:rsid w:val="00F82B3B"/>
    <w:rsid w:val="00F83225"/>
    <w:rsid w:val="00F83B6D"/>
    <w:rsid w:val="00F84F2D"/>
    <w:rsid w:val="00F86ED7"/>
    <w:rsid w:val="00F90A41"/>
    <w:rsid w:val="00F91FAA"/>
    <w:rsid w:val="00F924B7"/>
    <w:rsid w:val="00F9288E"/>
    <w:rsid w:val="00F93110"/>
    <w:rsid w:val="00F93423"/>
    <w:rsid w:val="00F94D60"/>
    <w:rsid w:val="00F95172"/>
    <w:rsid w:val="00F95BDE"/>
    <w:rsid w:val="00F95FF8"/>
    <w:rsid w:val="00F96162"/>
    <w:rsid w:val="00F965DD"/>
    <w:rsid w:val="00F968E1"/>
    <w:rsid w:val="00F97260"/>
    <w:rsid w:val="00FA0760"/>
    <w:rsid w:val="00FA0D7C"/>
    <w:rsid w:val="00FA1338"/>
    <w:rsid w:val="00FA1E9A"/>
    <w:rsid w:val="00FA2043"/>
    <w:rsid w:val="00FA2479"/>
    <w:rsid w:val="00FA2C5C"/>
    <w:rsid w:val="00FA4A80"/>
    <w:rsid w:val="00FA65F9"/>
    <w:rsid w:val="00FA7B41"/>
    <w:rsid w:val="00FB0978"/>
    <w:rsid w:val="00FB0E93"/>
    <w:rsid w:val="00FB105D"/>
    <w:rsid w:val="00FB10E3"/>
    <w:rsid w:val="00FB2666"/>
    <w:rsid w:val="00FB4DBF"/>
    <w:rsid w:val="00FC0709"/>
    <w:rsid w:val="00FC1960"/>
    <w:rsid w:val="00FC1DF8"/>
    <w:rsid w:val="00FC1E70"/>
    <w:rsid w:val="00FC2345"/>
    <w:rsid w:val="00FC244E"/>
    <w:rsid w:val="00FC4EAA"/>
    <w:rsid w:val="00FD13A0"/>
    <w:rsid w:val="00FD1807"/>
    <w:rsid w:val="00FD1922"/>
    <w:rsid w:val="00FD1957"/>
    <w:rsid w:val="00FD23E5"/>
    <w:rsid w:val="00FD5C7E"/>
    <w:rsid w:val="00FD61E3"/>
    <w:rsid w:val="00FD7811"/>
    <w:rsid w:val="00FE00F9"/>
    <w:rsid w:val="00FE1422"/>
    <w:rsid w:val="00FE2CA6"/>
    <w:rsid w:val="00FE2D4C"/>
    <w:rsid w:val="00FE3815"/>
    <w:rsid w:val="00FE7940"/>
    <w:rsid w:val="00FF0396"/>
    <w:rsid w:val="00FF27B2"/>
    <w:rsid w:val="00FF4B7F"/>
    <w:rsid w:val="00FF4BB3"/>
    <w:rsid w:val="00FF4D4F"/>
    <w:rsid w:val="00FF5793"/>
    <w:rsid w:val="00FF5991"/>
    <w:rsid w:val="00FF5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F35451-F1F9-461B-9AF7-3E6031AA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7C"/>
    <w:pPr>
      <w:spacing w:after="200"/>
      <w:jc w:val="both"/>
    </w:pPr>
    <w:rPr>
      <w:snapToGrid w:val="0"/>
      <w:sz w:val="22"/>
      <w:lang w:val="en-GB"/>
    </w:rPr>
  </w:style>
  <w:style w:type="paragraph" w:styleId="Heading1">
    <w:name w:val="heading 1"/>
    <w:basedOn w:val="Normal"/>
    <w:next w:val="Normal"/>
    <w:rsid w:val="00386540"/>
    <w:pPr>
      <w:keepNext/>
      <w:spacing w:before="240" w:after="60"/>
      <w:outlineLvl w:val="0"/>
    </w:pPr>
    <w:rPr>
      <w:rFonts w:ascii="Arial" w:hAnsi="Arial"/>
      <w:b/>
      <w:kern w:val="28"/>
      <w:sz w:val="28"/>
    </w:rPr>
  </w:style>
  <w:style w:type="paragraph" w:styleId="Heading2">
    <w:name w:val="heading 2"/>
    <w:basedOn w:val="Normal"/>
    <w:next w:val="Normal"/>
    <w:rsid w:val="00386540"/>
    <w:pPr>
      <w:keepNext/>
      <w:keepLines/>
      <w:tabs>
        <w:tab w:val="num" w:pos="283"/>
      </w:tabs>
      <w:spacing w:after="120"/>
      <w:ind w:left="283" w:hanging="283"/>
      <w:outlineLvl w:val="1"/>
    </w:pPr>
    <w:rPr>
      <w:b/>
    </w:rPr>
  </w:style>
  <w:style w:type="paragraph" w:styleId="Heading3">
    <w:name w:val="heading 3"/>
    <w:basedOn w:val="Normal"/>
    <w:next w:val="Normal"/>
    <w:rsid w:val="00386540"/>
    <w:pPr>
      <w:keepNext/>
      <w:tabs>
        <w:tab w:val="num" w:pos="283"/>
      </w:tabs>
      <w:spacing w:before="240" w:after="60"/>
      <w:ind w:left="283" w:hanging="283"/>
      <w:outlineLvl w:val="2"/>
    </w:pPr>
    <w:rPr>
      <w:b/>
    </w:rPr>
  </w:style>
  <w:style w:type="paragraph" w:styleId="Heading4">
    <w:name w:val="heading 4"/>
    <w:basedOn w:val="Normal"/>
    <w:next w:val="Text4"/>
    <w:link w:val="Heading4Char"/>
    <w:rsid w:val="00386540"/>
    <w:pPr>
      <w:keepNext/>
      <w:spacing w:after="240"/>
      <w:ind w:left="1984" w:hanging="782"/>
      <w:outlineLvl w:val="3"/>
    </w:pPr>
    <w:rPr>
      <w:snapToGrid/>
      <w:sz w:val="24"/>
    </w:rPr>
  </w:style>
  <w:style w:type="paragraph" w:styleId="Heading5">
    <w:name w:val="heading 5"/>
    <w:basedOn w:val="Normal"/>
    <w:next w:val="Normal"/>
    <w:rsid w:val="00386540"/>
    <w:pPr>
      <w:tabs>
        <w:tab w:val="num" w:pos="0"/>
      </w:tabs>
      <w:spacing w:before="240" w:after="60"/>
      <w:outlineLvl w:val="4"/>
    </w:pPr>
    <w:rPr>
      <w:rFonts w:ascii="Arial" w:hAnsi="Arial"/>
    </w:rPr>
  </w:style>
  <w:style w:type="paragraph" w:styleId="Heading6">
    <w:name w:val="heading 6"/>
    <w:basedOn w:val="Normal"/>
    <w:next w:val="Normal"/>
    <w:rsid w:val="00386540"/>
    <w:pPr>
      <w:tabs>
        <w:tab w:val="num" w:pos="0"/>
      </w:tabs>
      <w:spacing w:before="240" w:after="60"/>
      <w:outlineLvl w:val="5"/>
    </w:pPr>
    <w:rPr>
      <w:rFonts w:ascii="Arial" w:hAnsi="Arial"/>
      <w:i/>
    </w:rPr>
  </w:style>
  <w:style w:type="paragraph" w:styleId="Heading7">
    <w:name w:val="heading 7"/>
    <w:basedOn w:val="Normal"/>
    <w:next w:val="Normal"/>
    <w:rsid w:val="00386540"/>
    <w:pPr>
      <w:tabs>
        <w:tab w:val="num" w:pos="0"/>
      </w:tabs>
      <w:spacing w:before="240" w:after="60"/>
      <w:outlineLvl w:val="6"/>
    </w:pPr>
    <w:rPr>
      <w:rFonts w:ascii="Arial" w:hAnsi="Arial"/>
      <w:sz w:val="20"/>
    </w:rPr>
  </w:style>
  <w:style w:type="paragraph" w:styleId="Heading8">
    <w:name w:val="heading 8"/>
    <w:basedOn w:val="Normal"/>
    <w:next w:val="Normal"/>
    <w:rsid w:val="00386540"/>
    <w:pPr>
      <w:tabs>
        <w:tab w:val="num" w:pos="0"/>
      </w:tabs>
      <w:spacing w:before="240" w:after="60"/>
      <w:outlineLvl w:val="7"/>
    </w:pPr>
    <w:rPr>
      <w:rFonts w:ascii="Arial" w:hAnsi="Arial"/>
      <w:i/>
      <w:sz w:val="20"/>
    </w:rPr>
  </w:style>
  <w:style w:type="paragraph" w:styleId="Heading9">
    <w:name w:val="heading 9"/>
    <w:basedOn w:val="Normal"/>
    <w:next w:val="Normal"/>
    <w:rsid w:val="00386540"/>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386540"/>
    <w:pPr>
      <w:tabs>
        <w:tab w:val="left" w:pos="2302"/>
      </w:tabs>
      <w:spacing w:after="240"/>
      <w:ind w:left="1202"/>
    </w:pPr>
  </w:style>
  <w:style w:type="character" w:customStyle="1" w:styleId="Heading4Char">
    <w:name w:val="Heading 4 Char"/>
    <w:link w:val="Heading4"/>
    <w:rsid w:val="008109C1"/>
    <w:rPr>
      <w:snapToGrid/>
      <w:sz w:val="24"/>
      <w:lang w:eastAsia="en-US"/>
    </w:rPr>
  </w:style>
  <w:style w:type="paragraph" w:customStyle="1" w:styleId="Application1">
    <w:name w:val="Application1"/>
    <w:basedOn w:val="Heading1"/>
    <w:next w:val="Application2"/>
    <w:rsid w:val="00386540"/>
    <w:pPr>
      <w:pageBreakBefore/>
      <w:widowControl w:val="0"/>
      <w:tabs>
        <w:tab w:val="num" w:pos="360"/>
      </w:tabs>
      <w:spacing w:before="0" w:after="480"/>
      <w:ind w:left="360" w:hanging="360"/>
    </w:pPr>
    <w:rPr>
      <w:caps/>
    </w:rPr>
  </w:style>
  <w:style w:type="paragraph" w:customStyle="1" w:styleId="Application2">
    <w:name w:val="Application2"/>
    <w:basedOn w:val="Normal"/>
    <w:rsid w:val="00386540"/>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rsid w:val="00386540"/>
    <w:pPr>
      <w:widowControl w:val="0"/>
      <w:tabs>
        <w:tab w:val="num" w:pos="0"/>
        <w:tab w:val="right" w:pos="8789"/>
      </w:tabs>
      <w:suppressAutoHyphens/>
      <w:ind w:left="360" w:hanging="360"/>
    </w:pPr>
    <w:rPr>
      <w:rFonts w:ascii="Arial" w:hAnsi="Arial"/>
      <w:b/>
      <w:spacing w:val="-2"/>
    </w:rPr>
  </w:style>
  <w:style w:type="paragraph" w:customStyle="1" w:styleId="Application4">
    <w:name w:val="Application4"/>
    <w:basedOn w:val="Application3"/>
    <w:autoRedefine/>
    <w:rsid w:val="00386540"/>
    <w:pPr>
      <w:tabs>
        <w:tab w:val="clear" w:pos="0"/>
      </w:tabs>
      <w:ind w:left="567" w:firstLine="0"/>
    </w:pPr>
    <w:rPr>
      <w:sz w:val="20"/>
    </w:rPr>
  </w:style>
  <w:style w:type="paragraph" w:customStyle="1" w:styleId="Application5">
    <w:name w:val="Application5"/>
    <w:basedOn w:val="Application2"/>
    <w:autoRedefine/>
    <w:rsid w:val="00386540"/>
    <w:pPr>
      <w:tabs>
        <w:tab w:val="clear" w:pos="567"/>
        <w:tab w:val="num" w:pos="0"/>
      </w:tabs>
      <w:ind w:left="360" w:hanging="360"/>
    </w:pPr>
    <w:rPr>
      <w:sz w:val="24"/>
    </w:rPr>
  </w:style>
  <w:style w:type="paragraph" w:customStyle="1" w:styleId="NumPar4">
    <w:name w:val="NumPar 4"/>
    <w:basedOn w:val="Heading4"/>
    <w:next w:val="Text4"/>
    <w:rsid w:val="00386540"/>
    <w:pPr>
      <w:keepNext w:val="0"/>
    </w:pPr>
  </w:style>
  <w:style w:type="paragraph" w:styleId="Title">
    <w:name w:val="Title"/>
    <w:basedOn w:val="Normal"/>
    <w:next w:val="SubTitle1"/>
    <w:qFormat/>
    <w:rsid w:val="00386540"/>
    <w:pPr>
      <w:spacing w:after="480"/>
      <w:jc w:val="center"/>
    </w:pPr>
    <w:rPr>
      <w:b/>
      <w:sz w:val="48"/>
    </w:rPr>
  </w:style>
  <w:style w:type="paragraph" w:customStyle="1" w:styleId="SubTitle1">
    <w:name w:val="SubTitle 1"/>
    <w:basedOn w:val="Normal"/>
    <w:next w:val="SubTitle2"/>
    <w:rsid w:val="00386540"/>
    <w:pPr>
      <w:spacing w:after="240"/>
      <w:jc w:val="center"/>
    </w:pPr>
    <w:rPr>
      <w:b/>
      <w:sz w:val="40"/>
    </w:rPr>
  </w:style>
  <w:style w:type="paragraph" w:customStyle="1" w:styleId="SubTitle2">
    <w:name w:val="SubTitle 2"/>
    <w:basedOn w:val="Normal"/>
    <w:rsid w:val="00386540"/>
    <w:pPr>
      <w:spacing w:after="240"/>
      <w:jc w:val="center"/>
    </w:pPr>
    <w:rPr>
      <w:b/>
      <w:sz w:val="32"/>
    </w:rPr>
  </w:style>
  <w:style w:type="paragraph" w:customStyle="1" w:styleId="PartTitle">
    <w:name w:val="PartTitle"/>
    <w:basedOn w:val="Normal"/>
    <w:next w:val="Normal"/>
    <w:rsid w:val="00386540"/>
    <w:pPr>
      <w:keepNext/>
      <w:pageBreakBefore/>
      <w:spacing w:after="480"/>
      <w:jc w:val="center"/>
    </w:pPr>
    <w:rPr>
      <w:b/>
      <w:sz w:val="36"/>
    </w:rPr>
  </w:style>
  <w:style w:type="paragraph" w:customStyle="1" w:styleId="SectionTitle">
    <w:name w:val="SectionTitle"/>
    <w:basedOn w:val="Normal"/>
    <w:next w:val="Heading1"/>
    <w:rsid w:val="00386540"/>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386540"/>
    <w:pPr>
      <w:ind w:left="480"/>
    </w:pPr>
    <w:rPr>
      <w:sz w:val="20"/>
    </w:rPr>
  </w:style>
  <w:style w:type="paragraph" w:customStyle="1" w:styleId="AnnexTOC">
    <w:name w:val="AnnexTOC"/>
    <w:basedOn w:val="TOC1"/>
    <w:rsid w:val="00386540"/>
  </w:style>
  <w:style w:type="paragraph" w:customStyle="1" w:styleId="Guidelines1">
    <w:name w:val="Guidelines 1"/>
    <w:basedOn w:val="Normal"/>
    <w:autoRedefine/>
    <w:qFormat/>
    <w:rsid w:val="00D97BE7"/>
    <w:pPr>
      <w:widowControl w:val="0"/>
      <w:numPr>
        <w:numId w:val="1"/>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
      </w:numPr>
      <w:spacing w:before="240" w:after="120"/>
      <w:outlineLvl w:val="0"/>
    </w:pPr>
    <w:rPr>
      <w:rFonts w:ascii="Times New Roman Bold" w:hAnsi="Times New Roman Bold"/>
      <w:b/>
      <w:smallCaps/>
      <w:sz w:val="24"/>
    </w:rPr>
  </w:style>
  <w:style w:type="paragraph" w:customStyle="1" w:styleId="Text1">
    <w:name w:val="Text 1"/>
    <w:basedOn w:val="Normal"/>
    <w:link w:val="Text1Znak"/>
    <w:rsid w:val="00386540"/>
    <w:pPr>
      <w:spacing w:after="240"/>
      <w:ind w:left="482"/>
    </w:pPr>
  </w:style>
  <w:style w:type="paragraph" w:customStyle="1" w:styleId="Guidelines3">
    <w:name w:val="Guidelines 3"/>
    <w:basedOn w:val="Normal"/>
    <w:next w:val="Normal"/>
    <w:autoRedefine/>
    <w:qFormat/>
    <w:rsid w:val="006F280A"/>
    <w:pPr>
      <w:numPr>
        <w:ilvl w:val="2"/>
        <w:numId w:val="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386540"/>
    <w:pPr>
      <w:tabs>
        <w:tab w:val="left" w:pos="2161"/>
      </w:tabs>
      <w:spacing w:after="240"/>
      <w:ind w:left="1202"/>
    </w:pPr>
  </w:style>
  <w:style w:type="paragraph" w:customStyle="1" w:styleId="p3">
    <w:name w:val="p3"/>
    <w:basedOn w:val="Normal"/>
    <w:rsid w:val="00386540"/>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386540"/>
    <w:rPr>
      <w:color w:val="0000FF"/>
      <w:u w:val="single"/>
    </w:rPr>
  </w:style>
  <w:style w:type="paragraph" w:customStyle="1" w:styleId="References">
    <w:name w:val="References"/>
    <w:basedOn w:val="Normal"/>
    <w:next w:val="Normal"/>
    <w:rsid w:val="00386540"/>
    <w:pPr>
      <w:spacing w:after="240"/>
      <w:ind w:left="5103"/>
    </w:pPr>
    <w:rPr>
      <w:sz w:val="20"/>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
    <w:basedOn w:val="Normal"/>
    <w:link w:val="FootnoteTextChar"/>
    <w:qFormat/>
    <w:rsid w:val="0040358C"/>
    <w:pPr>
      <w:spacing w:before="120" w:after="0"/>
      <w:ind w:left="284" w:hanging="284"/>
    </w:pPr>
    <w:rPr>
      <w:snapToGrid/>
      <w:sz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link w:val="FootnoteText"/>
    <w:rsid w:val="0040358C"/>
    <w:rPr>
      <w:snapToGrid/>
      <w:lang w:eastAsia="en-US"/>
    </w:rPr>
  </w:style>
  <w:style w:type="paragraph" w:styleId="Header">
    <w:name w:val="header"/>
    <w:basedOn w:val="Normal"/>
    <w:rsid w:val="00386540"/>
    <w:pPr>
      <w:tabs>
        <w:tab w:val="center" w:pos="4153"/>
        <w:tab w:val="right" w:pos="8306"/>
      </w:tabs>
      <w:spacing w:after="240"/>
    </w:pPr>
  </w:style>
  <w:style w:type="character" w:styleId="PageNumber">
    <w:name w:val="page number"/>
    <w:basedOn w:val="DefaultParagraphFont"/>
    <w:rsid w:val="00386540"/>
  </w:style>
  <w:style w:type="paragraph" w:styleId="Footer">
    <w:name w:val="footer"/>
    <w:basedOn w:val="Normal"/>
    <w:link w:val="FooterChar"/>
    <w:uiPriority w:val="99"/>
    <w:rsid w:val="00386540"/>
    <w:pPr>
      <w:ind w:right="-567"/>
    </w:pPr>
    <w:rPr>
      <w:rFonts w:ascii="Arial" w:hAnsi="Arial"/>
      <w:sz w:val="16"/>
    </w:rPr>
  </w:style>
  <w:style w:type="paragraph" w:customStyle="1" w:styleId="Style0">
    <w:name w:val="Style0"/>
    <w:rsid w:val="00386540"/>
    <w:rPr>
      <w:rFonts w:ascii="Arial" w:hAnsi="Arial"/>
      <w:snapToGrid w:val="0"/>
      <w:sz w:val="24"/>
    </w:rPr>
  </w:style>
  <w:style w:type="paragraph" w:customStyle="1" w:styleId="Text3">
    <w:name w:val="Text 3"/>
    <w:basedOn w:val="Normal"/>
    <w:rsid w:val="00386540"/>
    <w:pPr>
      <w:tabs>
        <w:tab w:val="left" w:pos="2302"/>
      </w:tabs>
      <w:spacing w:after="240"/>
      <w:ind w:left="1202"/>
    </w:pPr>
  </w:style>
  <w:style w:type="paragraph" w:styleId="BodyTextIndent">
    <w:name w:val="Body Text Indent"/>
    <w:basedOn w:val="Normal"/>
    <w:link w:val="BodyTextIndentChar"/>
    <w:rsid w:val="00386540"/>
    <w:rPr>
      <w:snapToGrid/>
      <w:sz w:val="24"/>
    </w:rPr>
  </w:style>
  <w:style w:type="character" w:customStyle="1" w:styleId="BodyTextIndentChar">
    <w:name w:val="Body Text Indent Char"/>
    <w:link w:val="BodyTextIndent"/>
    <w:rsid w:val="0090351E"/>
    <w:rPr>
      <w:snapToGrid/>
      <w:sz w:val="24"/>
      <w:lang w:eastAsia="en-US"/>
    </w:rPr>
  </w:style>
  <w:style w:type="paragraph" w:styleId="TOC5">
    <w:name w:val="toc 5"/>
    <w:basedOn w:val="Normal"/>
    <w:next w:val="Normal"/>
    <w:autoRedefine/>
    <w:semiHidden/>
    <w:rsid w:val="00386540"/>
    <w:pPr>
      <w:ind w:left="720"/>
    </w:pPr>
    <w:rPr>
      <w:sz w:val="20"/>
    </w:rPr>
  </w:style>
  <w:style w:type="paragraph" w:styleId="TOC6">
    <w:name w:val="toc 6"/>
    <w:basedOn w:val="Normal"/>
    <w:next w:val="Normal"/>
    <w:autoRedefine/>
    <w:semiHidden/>
    <w:rsid w:val="00386540"/>
    <w:pPr>
      <w:ind w:left="960"/>
    </w:pPr>
    <w:rPr>
      <w:sz w:val="20"/>
    </w:rPr>
  </w:style>
  <w:style w:type="paragraph" w:styleId="TOC7">
    <w:name w:val="toc 7"/>
    <w:basedOn w:val="Normal"/>
    <w:next w:val="Normal"/>
    <w:autoRedefine/>
    <w:semiHidden/>
    <w:rsid w:val="00386540"/>
    <w:pPr>
      <w:ind w:left="1200"/>
    </w:pPr>
    <w:rPr>
      <w:sz w:val="20"/>
    </w:rPr>
  </w:style>
  <w:style w:type="paragraph" w:styleId="TOC8">
    <w:name w:val="toc 8"/>
    <w:basedOn w:val="Normal"/>
    <w:next w:val="Normal"/>
    <w:autoRedefine/>
    <w:semiHidden/>
    <w:rsid w:val="00386540"/>
    <w:pPr>
      <w:ind w:left="1440"/>
    </w:pPr>
    <w:rPr>
      <w:sz w:val="20"/>
    </w:rPr>
  </w:style>
  <w:style w:type="paragraph" w:styleId="TOC9">
    <w:name w:val="toc 9"/>
    <w:basedOn w:val="Normal"/>
    <w:next w:val="Normal"/>
    <w:autoRedefine/>
    <w:semiHidden/>
    <w:rsid w:val="00386540"/>
    <w:pPr>
      <w:ind w:left="1680"/>
    </w:pPr>
    <w:rPr>
      <w:sz w:val="20"/>
    </w:rPr>
  </w:style>
  <w:style w:type="character" w:styleId="FollowedHyperlink">
    <w:name w:val="FollowedHyperlink"/>
    <w:rsid w:val="00386540"/>
    <w:rPr>
      <w:color w:val="800080"/>
      <w:u w:val="single"/>
    </w:rPr>
  </w:style>
  <w:style w:type="paragraph" w:customStyle="1" w:styleId="NumPar2">
    <w:name w:val="NumPar 2"/>
    <w:basedOn w:val="Heading2"/>
    <w:next w:val="Text2"/>
    <w:rsid w:val="00386540"/>
    <w:pPr>
      <w:keepNext w:val="0"/>
      <w:keepLines w:val="0"/>
      <w:tabs>
        <w:tab w:val="clear" w:pos="283"/>
        <w:tab w:val="num" w:pos="360"/>
        <w:tab w:val="num" w:pos="1492"/>
      </w:tabs>
      <w:spacing w:after="240"/>
      <w:ind w:left="360" w:hanging="360"/>
      <w:outlineLvl w:val="9"/>
    </w:pPr>
    <w:rPr>
      <w:b w:val="0"/>
      <w:lang w:val="fr-FR"/>
    </w:rPr>
  </w:style>
  <w:style w:type="paragraph" w:styleId="ListBullet5">
    <w:name w:val="List Bullet 5"/>
    <w:basedOn w:val="Normal"/>
    <w:autoRedefine/>
    <w:rsid w:val="00386540"/>
    <w:pPr>
      <w:tabs>
        <w:tab w:val="num" w:pos="360"/>
      </w:tabs>
      <w:spacing w:after="240"/>
      <w:ind w:left="360" w:hanging="360"/>
    </w:pPr>
    <w:rPr>
      <w:lang w:val="fr-FR"/>
    </w:rPr>
  </w:style>
  <w:style w:type="paragraph" w:styleId="ListBullet">
    <w:name w:val="List Bullet"/>
    <w:basedOn w:val="Normal"/>
    <w:link w:val="ListBulletChar"/>
    <w:rsid w:val="00684AFF"/>
    <w:pPr>
      <w:tabs>
        <w:tab w:val="num" w:pos="567"/>
      </w:tabs>
      <w:spacing w:after="240"/>
      <w:ind w:left="567" w:hanging="283"/>
    </w:pPr>
    <w:rPr>
      <w:snapToGrid/>
    </w:rPr>
  </w:style>
  <w:style w:type="character" w:customStyle="1" w:styleId="ListBulletChar">
    <w:name w:val="List Bullet Char"/>
    <w:link w:val="ListBullet"/>
    <w:rsid w:val="00CF6359"/>
    <w:rPr>
      <w:sz w:val="22"/>
      <w:lang w:val="en-GB"/>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1485"/>
      </w:tabs>
      <w:ind w:left="1485" w:hanging="283"/>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s>
      <w:spacing w:after="240"/>
      <w:ind w:left="283" w:hanging="283"/>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tabs>
        <w:tab w:val="clear" w:pos="2161"/>
        <w:tab w:val="num" w:pos="1911"/>
      </w:tabs>
      <w:ind w:left="1911" w:hanging="709"/>
    </w:pPr>
    <w:rPr>
      <w:snapToGrid/>
    </w:rPr>
  </w:style>
  <w:style w:type="paragraph" w:customStyle="1" w:styleId="ListNumber2Level2">
    <w:name w:val="List Number 2 (Level 2)"/>
    <w:basedOn w:val="Text2"/>
    <w:rsid w:val="0022128C"/>
    <w:pPr>
      <w:tabs>
        <w:tab w:val="clear" w:pos="2161"/>
        <w:tab w:val="num" w:pos="2619"/>
      </w:tabs>
      <w:ind w:left="2619" w:hanging="708"/>
    </w:pPr>
    <w:rPr>
      <w:snapToGrid/>
    </w:rPr>
  </w:style>
  <w:style w:type="paragraph" w:customStyle="1" w:styleId="ListNumber2Level3">
    <w:name w:val="List Number 2 (Level 3)"/>
    <w:basedOn w:val="Text2"/>
    <w:rsid w:val="0022128C"/>
    <w:pPr>
      <w:tabs>
        <w:tab w:val="clear" w:pos="2161"/>
        <w:tab w:val="num" w:pos="3328"/>
      </w:tabs>
      <w:ind w:left="3328" w:hanging="709"/>
    </w:pPr>
    <w:rPr>
      <w:snapToGrid/>
    </w:rPr>
  </w:style>
  <w:style w:type="paragraph" w:customStyle="1" w:styleId="ListNumber2Level4">
    <w:name w:val="List Number 2 (Level 4)"/>
    <w:basedOn w:val="Text2"/>
    <w:rsid w:val="0022128C"/>
    <w:pPr>
      <w:tabs>
        <w:tab w:val="clear" w:pos="2161"/>
        <w:tab w:val="num" w:pos="4037"/>
      </w:tabs>
      <w:ind w:left="4037" w:hanging="709"/>
    </w:pPr>
    <w:rPr>
      <w:snapToGrid/>
    </w:rPr>
  </w:style>
  <w:style w:type="character" w:styleId="Strong">
    <w:name w:val="Strong"/>
    <w:uiPriority w:val="22"/>
    <w:qFormat/>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Re"/>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napToGrid/>
      <w:sz w:val="16"/>
      <w:szCs w:val="16"/>
    </w:rPr>
  </w:style>
  <w:style w:type="character" w:customStyle="1" w:styleId="BalloonTextChar">
    <w:name w:val="Balloon Text Char"/>
    <w:link w:val="BalloonText"/>
    <w:rsid w:val="00AF32BC"/>
    <w:rPr>
      <w:rFonts w:ascii="Tahoma" w:hAnsi="Tahoma" w:cs="Tahoma"/>
      <w:snapToGrid/>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uiPriority w:val="99"/>
    <w:rsid w:val="00A6227D"/>
    <w:rPr>
      <w:snapToGrid/>
      <w:sz w:val="20"/>
    </w:rPr>
  </w:style>
  <w:style w:type="character" w:customStyle="1" w:styleId="CommentTextChar">
    <w:name w:val="Comment Text Char"/>
    <w:link w:val="CommentText"/>
    <w:uiPriority w:val="99"/>
    <w:rsid w:val="00A6227D"/>
    <w:rPr>
      <w:snapToGrid/>
      <w:lang w:eastAsia="en-US"/>
    </w:rPr>
  </w:style>
  <w:style w:type="paragraph" w:styleId="NormalWeb">
    <w:name w:val="Normal (Web)"/>
    <w:basedOn w:val="Normal"/>
    <w:uiPriority w:val="99"/>
    <w:unhideWhenUsed/>
    <w:rsid w:val="00773B05"/>
    <w:pPr>
      <w:spacing w:before="100" w:beforeAutospacing="1" w:after="100" w:afterAutospacing="1"/>
      <w:jc w:val="left"/>
    </w:pPr>
    <w:rPr>
      <w:snapToGrid/>
      <w:sz w:val="24"/>
      <w:szCs w:val="24"/>
      <w:lang w:val="en-US"/>
    </w:rPr>
  </w:style>
  <w:style w:type="table" w:customStyle="1" w:styleId="LightGrid-Accent11">
    <w:name w:val="Light Grid - Accent 11"/>
    <w:basedOn w:val="TableNormal"/>
    <w:uiPriority w:val="62"/>
    <w:rsid w:val="00BD0756"/>
    <w:rPr>
      <w:rFonts w:ascii="Calibri" w:eastAsia="Calibri" w:hAnsi="Calibri"/>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ext1Znak">
    <w:name w:val="Text 1 Znak"/>
    <w:link w:val="Text1"/>
    <w:rsid w:val="00C0480E"/>
    <w:rPr>
      <w:snapToGrid w:val="0"/>
      <w:sz w:val="22"/>
      <w:lang w:val="en-GB"/>
    </w:rPr>
  </w:style>
  <w:style w:type="paragraph" w:customStyle="1" w:styleId="EnterplanListNumberCharCharCharCharChar">
    <w:name w:val="Enterplan List Number Char Char Char Char Char"/>
    <w:basedOn w:val="Normal"/>
    <w:rsid w:val="00165C22"/>
    <w:pPr>
      <w:tabs>
        <w:tab w:val="num" w:pos="1492"/>
      </w:tabs>
      <w:spacing w:after="220"/>
      <w:ind w:left="1492" w:hanging="360"/>
    </w:pPr>
    <w:rPr>
      <w:rFonts w:ascii="Arial" w:hAnsi="Arial"/>
      <w:sz w:val="24"/>
      <w:szCs w:val="24"/>
      <w:lang w:eastAsia="ar-SA"/>
    </w:rPr>
  </w:style>
  <w:style w:type="paragraph" w:customStyle="1" w:styleId="Paragraph">
    <w:name w:val="Paragraph"/>
    <w:basedOn w:val="Normal"/>
    <w:rsid w:val="00AD3323"/>
    <w:pPr>
      <w:tabs>
        <w:tab w:val="left" w:pos="851"/>
        <w:tab w:val="left" w:pos="1701"/>
      </w:tabs>
      <w:spacing w:before="60" w:after="60"/>
      <w:jc w:val="left"/>
    </w:pPr>
    <w:rPr>
      <w:snapToGrid/>
    </w:rPr>
  </w:style>
  <w:style w:type="character" w:customStyle="1" w:styleId="apple-converted-space">
    <w:name w:val="apple-converted-space"/>
    <w:rsid w:val="00C607B9"/>
  </w:style>
  <w:style w:type="paragraph" w:customStyle="1" w:styleId="Sous-titre1">
    <w:name w:val="Sous-titre 1"/>
    <w:basedOn w:val="Normal"/>
    <w:next w:val="Normal"/>
    <w:autoRedefine/>
    <w:uiPriority w:val="99"/>
    <w:rsid w:val="00F95FF8"/>
    <w:pPr>
      <w:numPr>
        <w:numId w:val="21"/>
      </w:numPr>
      <w:tabs>
        <w:tab w:val="left" w:pos="284"/>
        <w:tab w:val="left" w:pos="630"/>
        <w:tab w:val="left" w:pos="851"/>
        <w:tab w:val="left" w:pos="1134"/>
        <w:tab w:val="left" w:pos="1701"/>
        <w:tab w:val="left" w:pos="1985"/>
        <w:tab w:val="left" w:pos="2268"/>
        <w:tab w:val="left" w:pos="2552"/>
        <w:tab w:val="left" w:pos="3119"/>
        <w:tab w:val="left" w:pos="4253"/>
        <w:tab w:val="left" w:pos="5954"/>
        <w:tab w:val="left" w:pos="8222"/>
        <w:tab w:val="right" w:pos="11057"/>
      </w:tabs>
      <w:spacing w:after="0"/>
    </w:pPr>
    <w:rPr>
      <w:rFonts w:eastAsia="SimSun"/>
      <w:snapToGrid/>
      <w:sz w:val="24"/>
      <w:szCs w:val="24"/>
      <w:lang w:eastAsia="en-GB"/>
    </w:rPr>
  </w:style>
  <w:style w:type="paragraph" w:customStyle="1" w:styleId="mcntmsonormal">
    <w:name w:val="mcntmsonormal"/>
    <w:basedOn w:val="Normal"/>
    <w:rsid w:val="00AA063D"/>
    <w:pPr>
      <w:spacing w:before="100" w:beforeAutospacing="1" w:after="100" w:afterAutospacing="1"/>
      <w:jc w:val="left"/>
    </w:pPr>
    <w:rPr>
      <w:snapToGrid/>
      <w:sz w:val="24"/>
      <w:szCs w:val="24"/>
      <w:lang w:val="en-US"/>
    </w:rPr>
  </w:style>
  <w:style w:type="paragraph" w:customStyle="1" w:styleId="mcntmsolistparagraph">
    <w:name w:val="mcntmsolistparagraph"/>
    <w:basedOn w:val="Normal"/>
    <w:rsid w:val="00AA063D"/>
    <w:pPr>
      <w:spacing w:before="100" w:beforeAutospacing="1" w:after="100" w:afterAutospacing="1"/>
      <w:jc w:val="left"/>
    </w:pPr>
    <w:rPr>
      <w:snapToGrid/>
      <w:sz w:val="24"/>
      <w:szCs w:val="24"/>
      <w:lang w:val="en-US"/>
    </w:rPr>
  </w:style>
  <w:style w:type="paragraph" w:customStyle="1" w:styleId="Default">
    <w:name w:val="Default"/>
    <w:rsid w:val="002223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E3B4E"/>
    <w:rPr>
      <w:rFonts w:ascii="Arial" w:hAnsi="Arial"/>
      <w:snapToGrid w:val="0"/>
      <w:sz w:val="16"/>
      <w:lang w:val="en-GB"/>
    </w:rPr>
  </w:style>
  <w:style w:type="paragraph" w:styleId="EndnoteText">
    <w:name w:val="endnote text"/>
    <w:basedOn w:val="Normal"/>
    <w:link w:val="EndnoteTextChar"/>
    <w:rsid w:val="006E3B4E"/>
    <w:pPr>
      <w:spacing w:after="0"/>
    </w:pPr>
    <w:rPr>
      <w:sz w:val="20"/>
    </w:rPr>
  </w:style>
  <w:style w:type="character" w:customStyle="1" w:styleId="EndnoteTextChar">
    <w:name w:val="Endnote Text Char"/>
    <w:basedOn w:val="DefaultParagraphFont"/>
    <w:link w:val="EndnoteText"/>
    <w:rsid w:val="006E3B4E"/>
    <w:rPr>
      <w:snapToGrid w:val="0"/>
      <w:lang w:val="en-GB"/>
    </w:rPr>
  </w:style>
  <w:style w:type="character" w:styleId="EndnoteReference">
    <w:name w:val="endnote reference"/>
    <w:basedOn w:val="DefaultParagraphFont"/>
    <w:rsid w:val="006E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2513">
      <w:bodyDiv w:val="1"/>
      <w:marLeft w:val="0"/>
      <w:marRight w:val="0"/>
      <w:marTop w:val="0"/>
      <w:marBottom w:val="0"/>
      <w:divBdr>
        <w:top w:val="none" w:sz="0" w:space="0" w:color="auto"/>
        <w:left w:val="none" w:sz="0" w:space="0" w:color="auto"/>
        <w:bottom w:val="none" w:sz="0" w:space="0" w:color="auto"/>
        <w:right w:val="none" w:sz="0" w:space="0" w:color="auto"/>
      </w:divBdr>
      <w:divsChild>
        <w:div w:id="311182414">
          <w:marLeft w:val="0"/>
          <w:marRight w:val="0"/>
          <w:marTop w:val="0"/>
          <w:marBottom w:val="0"/>
          <w:divBdr>
            <w:top w:val="none" w:sz="0" w:space="0" w:color="auto"/>
            <w:left w:val="none" w:sz="0" w:space="0" w:color="auto"/>
            <w:bottom w:val="none" w:sz="0" w:space="0" w:color="auto"/>
            <w:right w:val="none" w:sz="0" w:space="0" w:color="auto"/>
          </w:divBdr>
        </w:div>
        <w:div w:id="490029779">
          <w:marLeft w:val="0"/>
          <w:marRight w:val="0"/>
          <w:marTop w:val="0"/>
          <w:marBottom w:val="0"/>
          <w:divBdr>
            <w:top w:val="none" w:sz="0" w:space="0" w:color="auto"/>
            <w:left w:val="none" w:sz="0" w:space="0" w:color="auto"/>
            <w:bottom w:val="none" w:sz="0" w:space="0" w:color="auto"/>
            <w:right w:val="none" w:sz="0" w:space="0" w:color="auto"/>
          </w:divBdr>
        </w:div>
        <w:div w:id="585697715">
          <w:marLeft w:val="0"/>
          <w:marRight w:val="0"/>
          <w:marTop w:val="0"/>
          <w:marBottom w:val="0"/>
          <w:divBdr>
            <w:top w:val="none" w:sz="0" w:space="0" w:color="auto"/>
            <w:left w:val="none" w:sz="0" w:space="0" w:color="auto"/>
            <w:bottom w:val="none" w:sz="0" w:space="0" w:color="auto"/>
            <w:right w:val="none" w:sz="0" w:space="0" w:color="auto"/>
          </w:divBdr>
        </w:div>
        <w:div w:id="680204768">
          <w:marLeft w:val="0"/>
          <w:marRight w:val="0"/>
          <w:marTop w:val="0"/>
          <w:marBottom w:val="0"/>
          <w:divBdr>
            <w:top w:val="none" w:sz="0" w:space="0" w:color="auto"/>
            <w:left w:val="none" w:sz="0" w:space="0" w:color="auto"/>
            <w:bottom w:val="none" w:sz="0" w:space="0" w:color="auto"/>
            <w:right w:val="none" w:sz="0" w:space="0" w:color="auto"/>
          </w:divBdr>
        </w:div>
        <w:div w:id="715739309">
          <w:marLeft w:val="0"/>
          <w:marRight w:val="0"/>
          <w:marTop w:val="0"/>
          <w:marBottom w:val="0"/>
          <w:divBdr>
            <w:top w:val="none" w:sz="0" w:space="0" w:color="auto"/>
            <w:left w:val="none" w:sz="0" w:space="0" w:color="auto"/>
            <w:bottom w:val="none" w:sz="0" w:space="0" w:color="auto"/>
            <w:right w:val="none" w:sz="0" w:space="0" w:color="auto"/>
          </w:divBdr>
        </w:div>
      </w:divsChild>
    </w:div>
    <w:div w:id="550190678">
      <w:bodyDiv w:val="1"/>
      <w:marLeft w:val="0"/>
      <w:marRight w:val="0"/>
      <w:marTop w:val="0"/>
      <w:marBottom w:val="0"/>
      <w:divBdr>
        <w:top w:val="none" w:sz="0" w:space="0" w:color="auto"/>
        <w:left w:val="none" w:sz="0" w:space="0" w:color="auto"/>
        <w:bottom w:val="none" w:sz="0" w:space="0" w:color="auto"/>
        <w:right w:val="none" w:sz="0" w:space="0" w:color="auto"/>
      </w:divBdr>
      <w:divsChild>
        <w:div w:id="228081798">
          <w:marLeft w:val="0"/>
          <w:marRight w:val="0"/>
          <w:marTop w:val="0"/>
          <w:marBottom w:val="0"/>
          <w:divBdr>
            <w:top w:val="none" w:sz="0" w:space="0" w:color="auto"/>
            <w:left w:val="none" w:sz="0" w:space="0" w:color="auto"/>
            <w:bottom w:val="none" w:sz="0" w:space="0" w:color="auto"/>
            <w:right w:val="none" w:sz="0" w:space="0" w:color="auto"/>
          </w:divBdr>
        </w:div>
        <w:div w:id="842553214">
          <w:marLeft w:val="0"/>
          <w:marRight w:val="0"/>
          <w:marTop w:val="0"/>
          <w:marBottom w:val="0"/>
          <w:divBdr>
            <w:top w:val="none" w:sz="0" w:space="0" w:color="auto"/>
            <w:left w:val="none" w:sz="0" w:space="0" w:color="auto"/>
            <w:bottom w:val="none" w:sz="0" w:space="0" w:color="auto"/>
            <w:right w:val="none" w:sz="0" w:space="0" w:color="auto"/>
          </w:divBdr>
        </w:div>
        <w:div w:id="1021400573">
          <w:marLeft w:val="0"/>
          <w:marRight w:val="0"/>
          <w:marTop w:val="0"/>
          <w:marBottom w:val="0"/>
          <w:divBdr>
            <w:top w:val="none" w:sz="0" w:space="0" w:color="auto"/>
            <w:left w:val="none" w:sz="0" w:space="0" w:color="auto"/>
            <w:bottom w:val="none" w:sz="0" w:space="0" w:color="auto"/>
            <w:right w:val="none" w:sz="0" w:space="0" w:color="auto"/>
          </w:divBdr>
        </w:div>
        <w:div w:id="1605305212">
          <w:marLeft w:val="0"/>
          <w:marRight w:val="0"/>
          <w:marTop w:val="0"/>
          <w:marBottom w:val="0"/>
          <w:divBdr>
            <w:top w:val="none" w:sz="0" w:space="0" w:color="auto"/>
            <w:left w:val="none" w:sz="0" w:space="0" w:color="auto"/>
            <w:bottom w:val="none" w:sz="0" w:space="0" w:color="auto"/>
            <w:right w:val="none" w:sz="0" w:space="0" w:color="auto"/>
          </w:divBdr>
        </w:div>
        <w:div w:id="2039502553">
          <w:marLeft w:val="0"/>
          <w:marRight w:val="0"/>
          <w:marTop w:val="0"/>
          <w:marBottom w:val="0"/>
          <w:divBdr>
            <w:top w:val="none" w:sz="0" w:space="0" w:color="auto"/>
            <w:left w:val="none" w:sz="0" w:space="0" w:color="auto"/>
            <w:bottom w:val="none" w:sz="0" w:space="0" w:color="auto"/>
            <w:right w:val="none" w:sz="0" w:space="0" w:color="auto"/>
          </w:divBdr>
        </w:div>
        <w:div w:id="2126536739">
          <w:marLeft w:val="0"/>
          <w:marRight w:val="0"/>
          <w:marTop w:val="0"/>
          <w:marBottom w:val="0"/>
          <w:divBdr>
            <w:top w:val="none" w:sz="0" w:space="0" w:color="auto"/>
            <w:left w:val="none" w:sz="0" w:space="0" w:color="auto"/>
            <w:bottom w:val="none" w:sz="0" w:space="0" w:color="auto"/>
            <w:right w:val="none" w:sz="0" w:space="0" w:color="auto"/>
          </w:divBdr>
        </w:div>
      </w:divsChild>
    </w:div>
    <w:div w:id="778061187">
      <w:bodyDiv w:val="1"/>
      <w:marLeft w:val="0"/>
      <w:marRight w:val="0"/>
      <w:marTop w:val="0"/>
      <w:marBottom w:val="0"/>
      <w:divBdr>
        <w:top w:val="none" w:sz="0" w:space="0" w:color="auto"/>
        <w:left w:val="none" w:sz="0" w:space="0" w:color="auto"/>
        <w:bottom w:val="none" w:sz="0" w:space="0" w:color="auto"/>
        <w:right w:val="none" w:sz="0" w:space="0" w:color="auto"/>
      </w:divBdr>
    </w:div>
    <w:div w:id="908348021">
      <w:bodyDiv w:val="1"/>
      <w:marLeft w:val="0"/>
      <w:marRight w:val="0"/>
      <w:marTop w:val="0"/>
      <w:marBottom w:val="0"/>
      <w:divBdr>
        <w:top w:val="none" w:sz="0" w:space="0" w:color="auto"/>
        <w:left w:val="none" w:sz="0" w:space="0" w:color="auto"/>
        <w:bottom w:val="none" w:sz="0" w:space="0" w:color="auto"/>
        <w:right w:val="none" w:sz="0" w:space="0" w:color="auto"/>
      </w:divBdr>
      <w:divsChild>
        <w:div w:id="1313487584">
          <w:marLeft w:val="0"/>
          <w:marRight w:val="0"/>
          <w:marTop w:val="0"/>
          <w:marBottom w:val="0"/>
          <w:divBdr>
            <w:top w:val="none" w:sz="0" w:space="0" w:color="auto"/>
            <w:left w:val="none" w:sz="0" w:space="0" w:color="auto"/>
            <w:bottom w:val="none" w:sz="0" w:space="0" w:color="auto"/>
            <w:right w:val="none" w:sz="0" w:space="0" w:color="auto"/>
          </w:divBdr>
          <w:divsChild>
            <w:div w:id="1043018150">
              <w:marLeft w:val="0"/>
              <w:marRight w:val="0"/>
              <w:marTop w:val="0"/>
              <w:marBottom w:val="0"/>
              <w:divBdr>
                <w:top w:val="none" w:sz="0" w:space="0" w:color="auto"/>
                <w:left w:val="none" w:sz="0" w:space="0" w:color="auto"/>
                <w:bottom w:val="none" w:sz="0" w:space="0" w:color="auto"/>
                <w:right w:val="none" w:sz="0" w:space="0" w:color="auto"/>
              </w:divBdr>
              <w:divsChild>
                <w:div w:id="1936745854">
                  <w:marLeft w:val="0"/>
                  <w:marRight w:val="0"/>
                  <w:marTop w:val="0"/>
                  <w:marBottom w:val="0"/>
                  <w:divBdr>
                    <w:top w:val="none" w:sz="0" w:space="0" w:color="auto"/>
                    <w:left w:val="none" w:sz="0" w:space="0" w:color="auto"/>
                    <w:bottom w:val="none" w:sz="0" w:space="0" w:color="auto"/>
                    <w:right w:val="none" w:sz="0" w:space="0" w:color="auto"/>
                  </w:divBdr>
                </w:div>
              </w:divsChild>
            </w:div>
            <w:div w:id="1452935018">
              <w:marLeft w:val="0"/>
              <w:marRight w:val="0"/>
              <w:marTop w:val="0"/>
              <w:marBottom w:val="0"/>
              <w:divBdr>
                <w:top w:val="none" w:sz="0" w:space="0" w:color="auto"/>
                <w:left w:val="none" w:sz="0" w:space="0" w:color="auto"/>
                <w:bottom w:val="none" w:sz="0" w:space="0" w:color="auto"/>
                <w:right w:val="none" w:sz="0" w:space="0" w:color="auto"/>
              </w:divBdr>
              <w:divsChild>
                <w:div w:id="1740401207">
                  <w:marLeft w:val="0"/>
                  <w:marRight w:val="0"/>
                  <w:marTop w:val="0"/>
                  <w:marBottom w:val="0"/>
                  <w:divBdr>
                    <w:top w:val="none" w:sz="0" w:space="0" w:color="auto"/>
                    <w:left w:val="none" w:sz="0" w:space="0" w:color="auto"/>
                    <w:bottom w:val="none" w:sz="0" w:space="0" w:color="auto"/>
                    <w:right w:val="none" w:sz="0" w:space="0" w:color="auto"/>
                  </w:divBdr>
                </w:div>
                <w:div w:id="17516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51252195">
      <w:bodyDiv w:val="1"/>
      <w:marLeft w:val="0"/>
      <w:marRight w:val="0"/>
      <w:marTop w:val="0"/>
      <w:marBottom w:val="0"/>
      <w:divBdr>
        <w:top w:val="none" w:sz="0" w:space="0" w:color="auto"/>
        <w:left w:val="none" w:sz="0" w:space="0" w:color="auto"/>
        <w:bottom w:val="none" w:sz="0" w:space="0" w:color="auto"/>
        <w:right w:val="none" w:sz="0" w:space="0" w:color="auto"/>
      </w:divBdr>
      <w:divsChild>
        <w:div w:id="544214757">
          <w:marLeft w:val="0"/>
          <w:marRight w:val="0"/>
          <w:marTop w:val="0"/>
          <w:marBottom w:val="0"/>
          <w:divBdr>
            <w:top w:val="none" w:sz="0" w:space="0" w:color="auto"/>
            <w:left w:val="none" w:sz="0" w:space="0" w:color="auto"/>
            <w:bottom w:val="none" w:sz="0" w:space="0" w:color="auto"/>
            <w:right w:val="none" w:sz="0" w:space="0" w:color="auto"/>
          </w:divBdr>
        </w:div>
        <w:div w:id="581451654">
          <w:marLeft w:val="0"/>
          <w:marRight w:val="0"/>
          <w:marTop w:val="0"/>
          <w:marBottom w:val="0"/>
          <w:divBdr>
            <w:top w:val="none" w:sz="0" w:space="0" w:color="auto"/>
            <w:left w:val="none" w:sz="0" w:space="0" w:color="auto"/>
            <w:bottom w:val="none" w:sz="0" w:space="0" w:color="auto"/>
            <w:right w:val="none" w:sz="0" w:space="0" w:color="auto"/>
          </w:divBdr>
        </w:div>
        <w:div w:id="587346950">
          <w:marLeft w:val="0"/>
          <w:marRight w:val="0"/>
          <w:marTop w:val="0"/>
          <w:marBottom w:val="0"/>
          <w:divBdr>
            <w:top w:val="none" w:sz="0" w:space="0" w:color="auto"/>
            <w:left w:val="none" w:sz="0" w:space="0" w:color="auto"/>
            <w:bottom w:val="none" w:sz="0" w:space="0" w:color="auto"/>
            <w:right w:val="none" w:sz="0" w:space="0" w:color="auto"/>
          </w:divBdr>
        </w:div>
        <w:div w:id="615723409">
          <w:marLeft w:val="0"/>
          <w:marRight w:val="0"/>
          <w:marTop w:val="0"/>
          <w:marBottom w:val="0"/>
          <w:divBdr>
            <w:top w:val="none" w:sz="0" w:space="0" w:color="auto"/>
            <w:left w:val="none" w:sz="0" w:space="0" w:color="auto"/>
            <w:bottom w:val="none" w:sz="0" w:space="0" w:color="auto"/>
            <w:right w:val="none" w:sz="0" w:space="0" w:color="auto"/>
          </w:divBdr>
        </w:div>
        <w:div w:id="1076971838">
          <w:marLeft w:val="0"/>
          <w:marRight w:val="0"/>
          <w:marTop w:val="0"/>
          <w:marBottom w:val="0"/>
          <w:divBdr>
            <w:top w:val="none" w:sz="0" w:space="0" w:color="auto"/>
            <w:left w:val="none" w:sz="0" w:space="0" w:color="auto"/>
            <w:bottom w:val="none" w:sz="0" w:space="0" w:color="auto"/>
            <w:right w:val="none" w:sz="0" w:space="0" w:color="auto"/>
          </w:divBdr>
        </w:div>
        <w:div w:id="1414889415">
          <w:marLeft w:val="0"/>
          <w:marRight w:val="0"/>
          <w:marTop w:val="0"/>
          <w:marBottom w:val="0"/>
          <w:divBdr>
            <w:top w:val="none" w:sz="0" w:space="0" w:color="auto"/>
            <w:left w:val="none" w:sz="0" w:space="0" w:color="auto"/>
            <w:bottom w:val="none" w:sz="0" w:space="0" w:color="auto"/>
            <w:right w:val="none" w:sz="0" w:space="0" w:color="auto"/>
          </w:divBdr>
        </w:div>
        <w:div w:id="1675304974">
          <w:marLeft w:val="0"/>
          <w:marRight w:val="0"/>
          <w:marTop w:val="0"/>
          <w:marBottom w:val="0"/>
          <w:divBdr>
            <w:top w:val="none" w:sz="0" w:space="0" w:color="auto"/>
            <w:left w:val="none" w:sz="0" w:space="0" w:color="auto"/>
            <w:bottom w:val="none" w:sz="0" w:space="0" w:color="auto"/>
            <w:right w:val="none" w:sz="0" w:space="0" w:color="auto"/>
          </w:divBdr>
        </w:div>
        <w:div w:id="1972200267">
          <w:marLeft w:val="0"/>
          <w:marRight w:val="0"/>
          <w:marTop w:val="0"/>
          <w:marBottom w:val="0"/>
          <w:divBdr>
            <w:top w:val="none" w:sz="0" w:space="0" w:color="auto"/>
            <w:left w:val="none" w:sz="0" w:space="0" w:color="auto"/>
            <w:bottom w:val="none" w:sz="0" w:space="0" w:color="auto"/>
            <w:right w:val="none" w:sz="0" w:space="0" w:color="auto"/>
          </w:divBdr>
        </w:div>
      </w:divsChild>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c.europa.eu/europeaid/communication-and-visibility-manual-eu-external-actions_en" TargetMode="External"/><Relationship Id="rId18" Type="http://schemas.openxmlformats.org/officeDocument/2006/relationships/hyperlink" Target="http://www.cfcu.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ebgate.ec.europa.eu/europeaid/online-services/index.cfm?do=publi.welcome" TargetMode="External"/><Relationship Id="rId7" Type="http://schemas.openxmlformats.org/officeDocument/2006/relationships/endnotes" Target="endnotes.xml"/><Relationship Id="rId12" Type="http://schemas.openxmlformats.org/officeDocument/2006/relationships/hyperlink" Target="http://ec.europa.eu/europeaid/prag/document.do?chapterId=2.3.3.&amp;id=221" TargetMode="External"/><Relationship Id="rId17" Type="http://schemas.openxmlformats.org/officeDocument/2006/relationships/hyperlink" Target="https://webgate.ec.europa.eu/europeaid/online-services/index.cfm?do=publi.welcome" TargetMode="External"/><Relationship Id="rId25" Type="http://schemas.openxmlformats.org/officeDocument/2006/relationships/hyperlink" Target="https://ec.europa.eu/europeaid/funding/procedures-beneficiary-countries-and-partners/financial-management-toolkit_en" TargetMode="External"/><Relationship Id="rId2" Type="http://schemas.openxmlformats.org/officeDocument/2006/relationships/numbering" Target="numbering.xml"/><Relationship Id="rId16" Type="http://schemas.openxmlformats.org/officeDocument/2006/relationships/hyperlink" Target="mailto:cfcu.questions@mfin.gov.rs" TargetMode="External"/><Relationship Id="rId20" Type="http://schemas.openxmlformats.org/officeDocument/2006/relationships/hyperlink" Target="https://webgate.ec.europa.eu/europeaid/online-services/index.cfm?do=publi.welc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chapterId=6.5.&amp;id=221" TargetMode="External"/><Relationship Id="rId24" Type="http://schemas.openxmlformats.org/officeDocument/2006/relationships/hyperlink" Target="http://ec.europa.eu/europeaid/companion/document.do?chapterId=497" TargetMode="External"/><Relationship Id="rId5" Type="http://schemas.openxmlformats.org/officeDocument/2006/relationships/webSettings" Target="webSettings.xml"/><Relationship Id="rId15" Type="http://schemas.openxmlformats.org/officeDocument/2006/relationships/hyperlink" Target="https://webgate.ec.europa.eu/europeaid/online-services/index.cfm?do=publi.welcome" TargetMode="External"/><Relationship Id="rId23" Type="http://schemas.openxmlformats.org/officeDocument/2006/relationships/hyperlink" Target="http://ec.europa.eu/europeaid/sites/devco/files/methodology-aid-delivery-methods-project-cycle-management-200403_en_2.pd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cfcu.questions@mfin.gov.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fcu.gov.rs" TargetMode="External"/><Relationship Id="rId22" Type="http://schemas.openxmlformats.org/officeDocument/2006/relationships/hyperlink" Target="http://ec.europa.eu/europeaid/funding/about-calls-tender/procedures-and-practical-guide-prag/diems_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policy.org/en/documentation-centre/articles-and-commentaries/320-pending-visa-reintroduction-possibility-and-serbia-s-eu-integration.html" TargetMode="External"/><Relationship Id="rId2" Type="http://schemas.openxmlformats.org/officeDocument/2006/relationships/hyperlink" Target="http://www3.weforum.org/docs/GCR2013-14/GCR_Rankings_2013-14.pdf" TargetMode="External"/><Relationship Id="rId1" Type="http://schemas.openxmlformats.org/officeDocument/2006/relationships/hyperlink" Target="http://www.doingbusiness.org/~/media/GIAWB/Doing%20Business/Documents/Annual-Reports/English/DB14-Full-Report.pdf" TargetMode="External"/><Relationship Id="rId5" Type="http://schemas.openxmlformats.org/officeDocument/2006/relationships/hyperlink" Target="http://www.blic.rs/Vesti/Drustvo/433192/Danas-stupa-na-snagu-mehanizam-za-privremeno-uvodjenje-viza" TargetMode="External"/><Relationship Id="rId4" Type="http://schemas.openxmlformats.org/officeDocument/2006/relationships/hyperlink" Target="http://www.b92.net/info/vesti/index.php?yyyy=2013&amp;mm=04&amp;dd=30&amp;nav_category=12&amp;nav_id=709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CF9E-68A9-4054-AC28-D45BB76B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11071</Words>
  <Characters>63106</Characters>
  <Application>Microsoft Office Word</Application>
  <DocSecurity>0</DocSecurity>
  <Lines>525</Lines>
  <Paragraphs>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74029</CharactersWithSpaces>
  <SharedDoc>false</SharedDoc>
  <HLinks>
    <vt:vector size="108" baseType="variant">
      <vt:variant>
        <vt:i4>4259952</vt:i4>
      </vt:variant>
      <vt:variant>
        <vt:i4>39</vt:i4>
      </vt:variant>
      <vt:variant>
        <vt:i4>0</vt:i4>
      </vt:variant>
      <vt:variant>
        <vt:i4>5</vt:i4>
      </vt:variant>
      <vt:variant>
        <vt:lpwstr>http://ec.europa.eu/europeaid/work/procedures/financial-management-toolkit_en.htm</vt:lpwstr>
      </vt:variant>
      <vt:variant>
        <vt:lpwstr/>
      </vt:variant>
      <vt:variant>
        <vt:i4>1638477</vt:i4>
      </vt:variant>
      <vt:variant>
        <vt:i4>36</vt:i4>
      </vt:variant>
      <vt:variant>
        <vt:i4>0</vt:i4>
      </vt:variant>
      <vt:variant>
        <vt:i4>5</vt:i4>
      </vt:variant>
      <vt:variant>
        <vt:lpwstr>http://ec.europa.eu/europeaid/companion/document.do?chapterId=497</vt:lpwstr>
      </vt:variant>
      <vt:variant>
        <vt:lpwstr/>
      </vt:variant>
      <vt:variant>
        <vt:i4>2621465</vt:i4>
      </vt:variant>
      <vt:variant>
        <vt:i4>33</vt:i4>
      </vt:variant>
      <vt:variant>
        <vt:i4>0</vt:i4>
      </vt:variant>
      <vt:variant>
        <vt:i4>5</vt:i4>
      </vt:variant>
      <vt:variant>
        <vt:lpwstr>http://ec.europa.eu/europeaid/multimedia/publications/publications/manuals-tools/t101_en.htm</vt:lpwstr>
      </vt:variant>
      <vt:variant>
        <vt:lpwstr/>
      </vt:variant>
      <vt:variant>
        <vt:i4>458849</vt:i4>
      </vt:variant>
      <vt:variant>
        <vt:i4>30</vt:i4>
      </vt:variant>
      <vt:variant>
        <vt:i4>0</vt:i4>
      </vt:variant>
      <vt:variant>
        <vt:i4>5</vt:i4>
      </vt:variant>
      <vt:variant>
        <vt:lpwstr>http://ec.europa.eu/europeaid/work/procedures/implementation/index_en.htm</vt:lpwstr>
      </vt:variant>
      <vt:variant>
        <vt:lpwstr/>
      </vt:variant>
      <vt:variant>
        <vt:i4>4784206</vt:i4>
      </vt:variant>
      <vt:variant>
        <vt:i4>27</vt:i4>
      </vt:variant>
      <vt:variant>
        <vt:i4>0</vt:i4>
      </vt:variant>
      <vt:variant>
        <vt:i4>5</vt:i4>
      </vt:variant>
      <vt:variant>
        <vt:lpwstr>https://webgate.ec.europa.eu/europeaid/online-services/index.cfm?do=publi.welcome</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6684750</vt:i4>
      </vt:variant>
      <vt:variant>
        <vt:i4>21</vt:i4>
      </vt:variant>
      <vt:variant>
        <vt:i4>0</vt:i4>
      </vt:variant>
      <vt:variant>
        <vt:i4>5</vt:i4>
      </vt:variant>
      <vt:variant>
        <vt:lpwstr>mailto:cfcu.questions@mfin.gov.rs</vt:lpwstr>
      </vt:variant>
      <vt:variant>
        <vt:lpwstr/>
      </vt:variant>
      <vt:variant>
        <vt:i4>4784206</vt:i4>
      </vt:variant>
      <vt:variant>
        <vt:i4>18</vt:i4>
      </vt:variant>
      <vt:variant>
        <vt:i4>0</vt:i4>
      </vt:variant>
      <vt:variant>
        <vt:i4>5</vt:i4>
      </vt:variant>
      <vt:variant>
        <vt:lpwstr>https://webgate.ec.europa.eu/europeaid/online-services/index.cfm?do=publi.welcome</vt:lpwstr>
      </vt:variant>
      <vt:variant>
        <vt:lpwstr/>
      </vt:variant>
      <vt:variant>
        <vt:i4>6684750</vt:i4>
      </vt:variant>
      <vt:variant>
        <vt:i4>15</vt:i4>
      </vt:variant>
      <vt:variant>
        <vt:i4>0</vt:i4>
      </vt:variant>
      <vt:variant>
        <vt:i4>5</vt:i4>
      </vt:variant>
      <vt:variant>
        <vt:lpwstr>mailto:cfcu.questions@mfin.gov.rs</vt:lpwstr>
      </vt:variant>
      <vt:variant>
        <vt:lpwstr/>
      </vt:variant>
      <vt:variant>
        <vt:i4>196653</vt:i4>
      </vt:variant>
      <vt:variant>
        <vt:i4>12</vt:i4>
      </vt:variant>
      <vt:variant>
        <vt:i4>0</vt:i4>
      </vt:variant>
      <vt:variant>
        <vt:i4>5</vt:i4>
      </vt:variant>
      <vt:variant>
        <vt:lpwstr>http://ec.europa.eu/europeaid/work/visibility/index_en.htm</vt:lpwstr>
      </vt:variant>
      <vt:variant>
        <vt:lpwstr/>
      </vt:variant>
      <vt:variant>
        <vt:i4>458849</vt:i4>
      </vt:variant>
      <vt:variant>
        <vt:i4>9</vt:i4>
      </vt:variant>
      <vt:variant>
        <vt:i4>0</vt:i4>
      </vt:variant>
      <vt:variant>
        <vt:i4>5</vt:i4>
      </vt:variant>
      <vt:variant>
        <vt:lpwstr>http://ec.europa.eu/europeaid/work/procedures/implementation/index_en.htm</vt:lpwstr>
      </vt:variant>
      <vt:variant>
        <vt:lpwstr/>
      </vt:variant>
      <vt:variant>
        <vt:i4>458849</vt:i4>
      </vt:variant>
      <vt:variant>
        <vt:i4>6</vt:i4>
      </vt:variant>
      <vt:variant>
        <vt:i4>0</vt:i4>
      </vt:variant>
      <vt:variant>
        <vt:i4>5</vt:i4>
      </vt:variant>
      <vt:variant>
        <vt:lpwstr>http://ec.europa.eu/europeaid/work/procedures/implementation/index_en.htm</vt:lpwstr>
      </vt:variant>
      <vt:variant>
        <vt:lpwstr/>
      </vt:variant>
      <vt:variant>
        <vt:i4>1638455</vt:i4>
      </vt:variant>
      <vt:variant>
        <vt:i4>2</vt:i4>
      </vt:variant>
      <vt:variant>
        <vt:i4>0</vt:i4>
      </vt:variant>
      <vt:variant>
        <vt:i4>5</vt:i4>
      </vt:variant>
      <vt:variant>
        <vt:lpwstr/>
      </vt:variant>
      <vt:variant>
        <vt:lpwstr>_Toc384374711</vt:lpwstr>
      </vt:variant>
      <vt:variant>
        <vt:i4>4128881</vt:i4>
      </vt:variant>
      <vt:variant>
        <vt:i4>12</vt:i4>
      </vt:variant>
      <vt:variant>
        <vt:i4>0</vt:i4>
      </vt:variant>
      <vt:variant>
        <vt:i4>5</vt:i4>
      </vt:variant>
      <vt:variant>
        <vt:lpwstr>http://www.blic.rs/Vesti/Drustvo/433192/Danas-stupa-na-snagu-mehanizam-za-privremeno-uvodjenje-viza</vt:lpwstr>
      </vt:variant>
      <vt:variant>
        <vt:lpwstr/>
      </vt:variant>
      <vt:variant>
        <vt:i4>7667831</vt:i4>
      </vt:variant>
      <vt:variant>
        <vt:i4>9</vt:i4>
      </vt:variant>
      <vt:variant>
        <vt:i4>0</vt:i4>
      </vt:variant>
      <vt:variant>
        <vt:i4>5</vt:i4>
      </vt:variant>
      <vt:variant>
        <vt:lpwstr>http://www.b92.net/info/vesti/index.php?yyyy=2013&amp;mm=04&amp;dd=30&amp;nav_category=12&amp;nav_id=709880</vt:lpwstr>
      </vt:variant>
      <vt:variant>
        <vt:lpwstr/>
      </vt:variant>
      <vt:variant>
        <vt:i4>4980751</vt:i4>
      </vt:variant>
      <vt:variant>
        <vt:i4>6</vt:i4>
      </vt:variant>
      <vt:variant>
        <vt:i4>0</vt:i4>
      </vt:variant>
      <vt:variant>
        <vt:i4>5</vt:i4>
      </vt:variant>
      <vt:variant>
        <vt:lpwstr>http://www.europeanpolicy.org/en/documentation-centre/articles-and-commentaries/320-pending-visa-reintroduction-possibility-and-serbia-s-eu-integration.html</vt:lpwstr>
      </vt:variant>
      <vt:variant>
        <vt:lpwstr/>
      </vt:variant>
      <vt:variant>
        <vt:i4>3801146</vt:i4>
      </vt:variant>
      <vt:variant>
        <vt:i4>3</vt:i4>
      </vt:variant>
      <vt:variant>
        <vt:i4>0</vt:i4>
      </vt:variant>
      <vt:variant>
        <vt:i4>5</vt:i4>
      </vt:variant>
      <vt:variant>
        <vt:lpwstr>http://www3.weforum.org/docs/GCR2013-14/GCR_Rankings_2013-14.pdf</vt:lpwstr>
      </vt:variant>
      <vt:variant>
        <vt:lpwstr/>
      </vt:variant>
      <vt:variant>
        <vt:i4>7340156</vt:i4>
      </vt:variant>
      <vt:variant>
        <vt:i4>0</vt:i4>
      </vt:variant>
      <vt:variant>
        <vt:i4>0</vt:i4>
      </vt:variant>
      <vt:variant>
        <vt:i4>5</vt:i4>
      </vt:variant>
      <vt:variant>
        <vt:lpwstr>http://www.doingbusiness.org/~/media/GIAWB/Doing Business/Documents/Annual-Reports/English/DB14-Full-Report.pdf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florean</dc:creator>
  <cp:lastModifiedBy>Tijana Tasic</cp:lastModifiedBy>
  <cp:revision>2</cp:revision>
  <cp:lastPrinted>2015-03-06T10:55:00Z</cp:lastPrinted>
  <dcterms:created xsi:type="dcterms:W3CDTF">2015-03-10T08:43:00Z</dcterms:created>
  <dcterms:modified xsi:type="dcterms:W3CDTF">2015-03-10T08:43:00Z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