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1380"/>
        <w:tblW w:w="0" w:type="auto"/>
        <w:tblLook w:val="0000" w:firstRow="0" w:lastRow="0" w:firstColumn="0" w:lastColumn="0" w:noHBand="0" w:noVBand="0"/>
      </w:tblPr>
      <w:tblGrid>
        <w:gridCol w:w="4500"/>
      </w:tblGrid>
      <w:tr w:rsidR="00F9670C" w:rsidRPr="00924256" w14:paraId="32CFE150" w14:textId="77777777" w:rsidTr="00F9670C">
        <w:trPr>
          <w:trHeight w:val="467"/>
        </w:trPr>
        <w:tc>
          <w:tcPr>
            <w:tcW w:w="4500" w:type="dxa"/>
          </w:tcPr>
          <w:p w14:paraId="0FE2545F" w14:textId="77777777" w:rsidR="00F9670C" w:rsidRPr="00924256" w:rsidRDefault="00F9670C" w:rsidP="00F9670C">
            <w:pPr>
              <w:jc w:val="center"/>
            </w:pPr>
            <w:r w:rsidRPr="0060298C">
              <w:rPr>
                <w:noProof/>
              </w:rPr>
              <w:drawing>
                <wp:inline distT="0" distB="0" distL="0" distR="0" wp14:anchorId="6922CEE4" wp14:editId="7767F2A4">
                  <wp:extent cx="31432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p w14:paraId="78CB6BD1" w14:textId="77777777" w:rsidR="00F9670C" w:rsidRPr="00924256" w:rsidRDefault="00F9670C" w:rsidP="00F9670C">
            <w:pPr>
              <w:jc w:val="center"/>
            </w:pPr>
            <w:smartTag w:uri="urn:schemas-microsoft-com:office:smarttags" w:element="place">
              <w:smartTag w:uri="urn:schemas-microsoft-com:office:smarttags" w:element="PlaceType">
                <w:r w:rsidRPr="00924256">
                  <w:t>Republic</w:t>
                </w:r>
              </w:smartTag>
              <w:r w:rsidRPr="00924256">
                <w:t xml:space="preserve"> of </w:t>
              </w:r>
              <w:smartTag w:uri="urn:schemas-microsoft-com:office:smarttags" w:element="PlaceName">
                <w:r w:rsidRPr="00924256">
                  <w:t>Serbia</w:t>
                </w:r>
              </w:smartTag>
            </w:smartTag>
          </w:p>
          <w:p w14:paraId="2EF430AE" w14:textId="77777777" w:rsidR="00F9670C" w:rsidRPr="00924256" w:rsidRDefault="00F9670C" w:rsidP="00F9670C">
            <w:pPr>
              <w:jc w:val="center"/>
              <w:rPr>
                <w:b/>
              </w:rPr>
            </w:pPr>
            <w:r w:rsidRPr="00924256">
              <w:rPr>
                <w:b/>
              </w:rPr>
              <w:t>MINISTRY OF FINANCE</w:t>
            </w:r>
          </w:p>
          <w:p w14:paraId="68FC5182" w14:textId="77777777" w:rsidR="00F9670C" w:rsidRPr="00924256" w:rsidRDefault="00F9670C" w:rsidP="006E7598">
            <w:pPr>
              <w:jc w:val="center"/>
            </w:pPr>
            <w:r w:rsidRPr="00924256">
              <w:rPr>
                <w:b/>
              </w:rPr>
              <w:t>Department for Contracting and Financing of EU Funded Programmes (CFCU)</w:t>
            </w:r>
          </w:p>
        </w:tc>
      </w:tr>
      <w:tr w:rsidR="00F9670C" w:rsidRPr="00924256" w14:paraId="5D9BF5A0" w14:textId="77777777" w:rsidTr="00F9670C">
        <w:trPr>
          <w:trHeight w:val="467"/>
        </w:trPr>
        <w:tc>
          <w:tcPr>
            <w:tcW w:w="4500" w:type="dxa"/>
          </w:tcPr>
          <w:p w14:paraId="6C0381EB" w14:textId="77777777" w:rsidR="00F9670C" w:rsidRPr="0060298C" w:rsidRDefault="00266B39" w:rsidP="00C610BB">
            <w:pPr>
              <w:jc w:val="center"/>
              <w:rPr>
                <w:noProof/>
              </w:rPr>
            </w:pPr>
            <w:r>
              <w:t xml:space="preserve"> </w:t>
            </w:r>
            <w:r w:rsidR="009E79EF" w:rsidRPr="009E79EF">
              <w:t>1</w:t>
            </w:r>
            <w:r w:rsidR="00C610BB">
              <w:t>4</w:t>
            </w:r>
            <w:r w:rsidR="005331C7" w:rsidRPr="009E79EF">
              <w:t>/</w:t>
            </w:r>
            <w:r w:rsidR="004F1717" w:rsidRPr="009E79EF">
              <w:t>0</w:t>
            </w:r>
            <w:r w:rsidRPr="009E79EF">
              <w:t>2</w:t>
            </w:r>
            <w:r w:rsidR="000D5640" w:rsidRPr="009E79EF">
              <w:t>/201</w:t>
            </w:r>
            <w:r w:rsidR="004F1717" w:rsidRPr="009E79EF">
              <w:t>9</w:t>
            </w:r>
            <w:r w:rsidR="00650EDD" w:rsidRPr="009E79EF">
              <w:t>, Belgrade</w:t>
            </w:r>
          </w:p>
        </w:tc>
      </w:tr>
    </w:tbl>
    <w:p w14:paraId="432AF2A3" w14:textId="77777777" w:rsidR="006552AD" w:rsidRDefault="006552AD">
      <w:pPr>
        <w:pStyle w:val="Style3"/>
        <w:widowControl/>
        <w:spacing w:line="240" w:lineRule="exact"/>
        <w:jc w:val="center"/>
        <w:rPr>
          <w:sz w:val="20"/>
          <w:szCs w:val="20"/>
        </w:rPr>
      </w:pPr>
      <w:bookmarkStart w:id="0" w:name="_GoBack"/>
    </w:p>
    <w:bookmarkEnd w:id="0"/>
    <w:p w14:paraId="61AB2630" w14:textId="77777777" w:rsidR="00F9670C" w:rsidRDefault="00F9670C">
      <w:pPr>
        <w:pStyle w:val="Style3"/>
        <w:widowControl/>
        <w:spacing w:before="134"/>
        <w:jc w:val="center"/>
        <w:rPr>
          <w:rStyle w:val="FontStyle12"/>
          <w:sz w:val="24"/>
          <w:szCs w:val="24"/>
        </w:rPr>
      </w:pPr>
    </w:p>
    <w:p w14:paraId="7DE4EA82" w14:textId="77777777" w:rsidR="00F9670C" w:rsidRDefault="00F9670C">
      <w:pPr>
        <w:pStyle w:val="Style3"/>
        <w:widowControl/>
        <w:spacing w:before="134"/>
        <w:jc w:val="center"/>
        <w:rPr>
          <w:rStyle w:val="FontStyle12"/>
          <w:sz w:val="24"/>
          <w:szCs w:val="24"/>
        </w:rPr>
      </w:pPr>
    </w:p>
    <w:p w14:paraId="52056CB8" w14:textId="77777777" w:rsidR="00F9670C" w:rsidRDefault="00F9670C">
      <w:pPr>
        <w:pStyle w:val="Style3"/>
        <w:widowControl/>
        <w:spacing w:before="134"/>
        <w:jc w:val="center"/>
        <w:rPr>
          <w:rStyle w:val="FontStyle12"/>
          <w:sz w:val="24"/>
          <w:szCs w:val="24"/>
        </w:rPr>
      </w:pPr>
    </w:p>
    <w:p w14:paraId="3528B379" w14:textId="77777777" w:rsidR="00F9670C" w:rsidRDefault="00F9670C">
      <w:pPr>
        <w:pStyle w:val="Style3"/>
        <w:widowControl/>
        <w:spacing w:before="134"/>
        <w:jc w:val="center"/>
        <w:rPr>
          <w:rStyle w:val="FontStyle12"/>
          <w:sz w:val="24"/>
          <w:szCs w:val="24"/>
        </w:rPr>
      </w:pPr>
    </w:p>
    <w:p w14:paraId="757A009F" w14:textId="77777777" w:rsidR="00650EDD" w:rsidRPr="00524359" w:rsidRDefault="00650EDD" w:rsidP="00650EDD">
      <w:pPr>
        <w:pStyle w:val="Subject"/>
        <w:spacing w:before="120" w:after="120"/>
        <w:ind w:left="0" w:firstLine="0"/>
        <w:jc w:val="center"/>
        <w:outlineLvl w:val="0"/>
        <w:rPr>
          <w:szCs w:val="24"/>
          <w:lang w:val="en-US"/>
        </w:rPr>
      </w:pPr>
      <w:r w:rsidRPr="00524359">
        <w:rPr>
          <w:szCs w:val="24"/>
          <w:lang w:val="en-US"/>
        </w:rPr>
        <w:t>CONTRACTING AUTHORITY’S CLARIFICATIONS</w:t>
      </w:r>
      <w:r>
        <w:rPr>
          <w:szCs w:val="24"/>
          <w:lang w:val="en-US"/>
        </w:rPr>
        <w:t xml:space="preserve"> No. </w:t>
      </w:r>
      <w:r w:rsidR="009E79EF">
        <w:rPr>
          <w:szCs w:val="24"/>
          <w:lang w:val="en-US"/>
        </w:rPr>
        <w:t>1</w:t>
      </w:r>
    </w:p>
    <w:p w14:paraId="6476C188" w14:textId="77777777" w:rsidR="00453384" w:rsidRPr="00453384" w:rsidRDefault="00F45C31" w:rsidP="00453384">
      <w:pPr>
        <w:spacing w:before="360"/>
        <w:jc w:val="center"/>
        <w:outlineLvl w:val="0"/>
        <w:rPr>
          <w:rStyle w:val="Strong"/>
        </w:rPr>
      </w:pPr>
      <w:r>
        <w:rPr>
          <w:b/>
          <w:bCs/>
          <w:snapToGrid w:val="0"/>
          <w:lang w:val="en-GB"/>
        </w:rPr>
        <w:t>Construction Works of Intermodal Terminal in Batajnica (Belgrade)</w:t>
      </w:r>
    </w:p>
    <w:p w14:paraId="3AEB5C4B" w14:textId="77777777" w:rsidR="00F9670C" w:rsidRDefault="00650EDD" w:rsidP="00650EDD">
      <w:pPr>
        <w:pStyle w:val="Style1"/>
        <w:widowControl/>
        <w:spacing w:before="34"/>
        <w:ind w:right="2486"/>
        <w:rPr>
          <w:rStyle w:val="FontStyle12"/>
          <w:sz w:val="24"/>
          <w:szCs w:val="24"/>
          <w:highlight w:val="yellow"/>
        </w:rPr>
      </w:pPr>
      <w:r>
        <w:rPr>
          <w:rStyle w:val="FontStyle12"/>
          <w:sz w:val="24"/>
          <w:szCs w:val="24"/>
        </w:rPr>
        <w:t xml:space="preserve">                 </w:t>
      </w:r>
      <w:r w:rsidR="00152A0D" w:rsidRPr="00F9670C">
        <w:rPr>
          <w:rStyle w:val="FontStyle12"/>
          <w:sz w:val="24"/>
          <w:szCs w:val="24"/>
        </w:rPr>
        <w:t xml:space="preserve">Publication ref.: </w:t>
      </w:r>
      <w:r w:rsidR="000C7306">
        <w:rPr>
          <w:rStyle w:val="FontStyle12"/>
          <w:sz w:val="24"/>
          <w:szCs w:val="24"/>
        </w:rPr>
        <w:t>E</w:t>
      </w:r>
      <w:r w:rsidR="00956C7D" w:rsidRPr="00956C7D">
        <w:rPr>
          <w:rStyle w:val="Emphasis"/>
          <w:b/>
          <w:i w:val="0"/>
        </w:rPr>
        <w:t>uropeAid/139</w:t>
      </w:r>
      <w:r w:rsidR="000C7306">
        <w:rPr>
          <w:rStyle w:val="Emphasis"/>
          <w:b/>
          <w:i w:val="0"/>
        </w:rPr>
        <w:t>114</w:t>
      </w:r>
      <w:r w:rsidR="00956C7D" w:rsidRPr="00956C7D">
        <w:rPr>
          <w:rStyle w:val="Emphasis"/>
          <w:b/>
          <w:i w:val="0"/>
        </w:rPr>
        <w:t>/IH/</w:t>
      </w:r>
      <w:r w:rsidR="000C7306">
        <w:rPr>
          <w:rStyle w:val="Emphasis"/>
          <w:b/>
          <w:i w:val="0"/>
        </w:rPr>
        <w:t>WKS</w:t>
      </w:r>
      <w:r w:rsidR="00956C7D" w:rsidRPr="00956C7D">
        <w:rPr>
          <w:rStyle w:val="Emphasis"/>
          <w:b/>
          <w:i w:val="0"/>
        </w:rPr>
        <w:t>/RS</w:t>
      </w:r>
    </w:p>
    <w:p w14:paraId="72407392" w14:textId="77777777" w:rsidR="006552AD" w:rsidRPr="00F9670C" w:rsidRDefault="006552AD" w:rsidP="000D5640">
      <w:pPr>
        <w:widowControl/>
        <w:spacing w:after="542" w:line="1" w:lineRule="exact"/>
        <w:jc w:val="center"/>
      </w:pPr>
    </w:p>
    <w:tbl>
      <w:tblPr>
        <w:tblW w:w="96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5"/>
        <w:gridCol w:w="4210"/>
        <w:gridCol w:w="4805"/>
      </w:tblGrid>
      <w:tr w:rsidR="006552AD" w:rsidRPr="00F9670C" w14:paraId="6BB5722A" w14:textId="77777777" w:rsidTr="003111DF">
        <w:tc>
          <w:tcPr>
            <w:tcW w:w="585" w:type="dxa"/>
          </w:tcPr>
          <w:p w14:paraId="2D9EAF70" w14:textId="77777777" w:rsidR="006552AD" w:rsidRPr="00F9670C" w:rsidRDefault="00152A0D">
            <w:pPr>
              <w:pStyle w:val="Style6"/>
              <w:widowControl/>
              <w:rPr>
                <w:rStyle w:val="FontStyle12"/>
                <w:sz w:val="24"/>
                <w:szCs w:val="24"/>
              </w:rPr>
            </w:pPr>
            <w:r w:rsidRPr="00F9670C">
              <w:rPr>
                <w:rStyle w:val="FontStyle12"/>
                <w:sz w:val="24"/>
                <w:szCs w:val="24"/>
              </w:rPr>
              <w:t>No.</w:t>
            </w:r>
          </w:p>
        </w:tc>
        <w:tc>
          <w:tcPr>
            <w:tcW w:w="4210" w:type="dxa"/>
          </w:tcPr>
          <w:p w14:paraId="3BBD17DB" w14:textId="77777777" w:rsidR="006552AD" w:rsidRPr="00F9670C" w:rsidRDefault="00152A0D">
            <w:pPr>
              <w:pStyle w:val="Style6"/>
              <w:widowControl/>
              <w:ind w:left="1546"/>
              <w:rPr>
                <w:rStyle w:val="FontStyle12"/>
                <w:sz w:val="24"/>
                <w:szCs w:val="24"/>
              </w:rPr>
            </w:pPr>
            <w:r w:rsidRPr="00F9670C">
              <w:rPr>
                <w:rStyle w:val="FontStyle12"/>
                <w:sz w:val="24"/>
                <w:szCs w:val="24"/>
              </w:rPr>
              <w:t>Question</w:t>
            </w:r>
          </w:p>
        </w:tc>
        <w:tc>
          <w:tcPr>
            <w:tcW w:w="4805" w:type="dxa"/>
          </w:tcPr>
          <w:p w14:paraId="604900ED" w14:textId="77777777" w:rsidR="006552AD" w:rsidRPr="00F9670C" w:rsidRDefault="00152A0D">
            <w:pPr>
              <w:pStyle w:val="Style6"/>
              <w:widowControl/>
              <w:ind w:left="1886"/>
              <w:rPr>
                <w:rStyle w:val="FontStyle12"/>
                <w:sz w:val="24"/>
                <w:szCs w:val="24"/>
              </w:rPr>
            </w:pPr>
            <w:r w:rsidRPr="00F9670C">
              <w:rPr>
                <w:rStyle w:val="FontStyle12"/>
                <w:sz w:val="24"/>
                <w:szCs w:val="24"/>
              </w:rPr>
              <w:t>Answer</w:t>
            </w:r>
          </w:p>
        </w:tc>
      </w:tr>
      <w:tr w:rsidR="00775B74" w:rsidRPr="00F9670C" w14:paraId="3BD4B544" w14:textId="77777777" w:rsidTr="003111DF">
        <w:tc>
          <w:tcPr>
            <w:tcW w:w="585" w:type="dxa"/>
          </w:tcPr>
          <w:p w14:paraId="2AE9AEF1" w14:textId="77777777" w:rsidR="00775B74" w:rsidRPr="00F9670C" w:rsidRDefault="00775B74">
            <w:pPr>
              <w:pStyle w:val="Style6"/>
              <w:widowControl/>
              <w:rPr>
                <w:rStyle w:val="FontStyle12"/>
                <w:sz w:val="24"/>
                <w:szCs w:val="24"/>
              </w:rPr>
            </w:pPr>
            <w:r>
              <w:rPr>
                <w:rStyle w:val="FontStyle12"/>
                <w:sz w:val="24"/>
                <w:szCs w:val="24"/>
              </w:rPr>
              <w:t>1.</w:t>
            </w:r>
          </w:p>
        </w:tc>
        <w:tc>
          <w:tcPr>
            <w:tcW w:w="4210" w:type="dxa"/>
          </w:tcPr>
          <w:p w14:paraId="61E92CCA" w14:textId="77777777" w:rsidR="00775B74" w:rsidRPr="00F9670C" w:rsidRDefault="00775B74" w:rsidP="00775B74">
            <w:pPr>
              <w:ind w:left="50" w:right="120"/>
              <w:jc w:val="both"/>
              <w:rPr>
                <w:rStyle w:val="FontStyle12"/>
                <w:sz w:val="24"/>
                <w:szCs w:val="24"/>
              </w:rPr>
            </w:pPr>
            <w:r>
              <w:t>As in Tender Documents there are references to the Pre-financing payment ( clause 14.2 of Particular Conditions of the Contract and also the model of the Guarantee on Pre-financing ),we kindly would like to clarify which is the amount of the Pre-financing payment.</w:t>
            </w:r>
          </w:p>
        </w:tc>
        <w:tc>
          <w:tcPr>
            <w:tcW w:w="4805" w:type="dxa"/>
          </w:tcPr>
          <w:p w14:paraId="49682809" w14:textId="77777777" w:rsidR="00775B74" w:rsidRPr="00F9670C" w:rsidRDefault="00775B74" w:rsidP="00775B74">
            <w:pPr>
              <w:pStyle w:val="Style6"/>
              <w:widowControl/>
              <w:ind w:left="70"/>
              <w:jc w:val="both"/>
              <w:rPr>
                <w:rStyle w:val="FontStyle12"/>
                <w:sz w:val="24"/>
                <w:szCs w:val="24"/>
              </w:rPr>
            </w:pPr>
            <w:r w:rsidRPr="00BD500F">
              <w:rPr>
                <w:rStyle w:val="FontStyle11"/>
                <w:sz w:val="24"/>
                <w:szCs w:val="24"/>
              </w:rPr>
              <w:t>As stipulated with Corrigendum No.1-Annex 2, Appendix to tender for works contract, published on 21</w:t>
            </w:r>
            <w:r w:rsidRPr="00BD500F">
              <w:rPr>
                <w:rStyle w:val="FontStyle11"/>
                <w:sz w:val="24"/>
                <w:szCs w:val="24"/>
                <w:vertAlign w:val="superscript"/>
              </w:rPr>
              <w:t>st</w:t>
            </w:r>
            <w:r w:rsidRPr="00BD500F">
              <w:rPr>
                <w:rStyle w:val="FontStyle11"/>
                <w:sz w:val="24"/>
                <w:szCs w:val="24"/>
              </w:rPr>
              <w:t xml:space="preserve"> December 2018., amount of the Advance Payment is 10% of Contract Price.</w:t>
            </w:r>
          </w:p>
        </w:tc>
      </w:tr>
      <w:tr w:rsidR="00775B74" w:rsidRPr="00F9670C" w14:paraId="1960EBA7" w14:textId="77777777" w:rsidTr="003111DF">
        <w:tc>
          <w:tcPr>
            <w:tcW w:w="585" w:type="dxa"/>
          </w:tcPr>
          <w:p w14:paraId="6A3ABCEE" w14:textId="77777777" w:rsidR="00775B74" w:rsidRPr="00F9670C" w:rsidRDefault="00BF3AA1">
            <w:pPr>
              <w:pStyle w:val="Style6"/>
              <w:widowControl/>
              <w:rPr>
                <w:rStyle w:val="FontStyle12"/>
                <w:sz w:val="24"/>
                <w:szCs w:val="24"/>
              </w:rPr>
            </w:pPr>
            <w:r>
              <w:rPr>
                <w:rStyle w:val="FontStyle12"/>
                <w:sz w:val="24"/>
                <w:szCs w:val="24"/>
              </w:rPr>
              <w:t>2.</w:t>
            </w:r>
          </w:p>
        </w:tc>
        <w:tc>
          <w:tcPr>
            <w:tcW w:w="4210" w:type="dxa"/>
          </w:tcPr>
          <w:p w14:paraId="6A6EDE62" w14:textId="77777777" w:rsidR="00DC4E18" w:rsidRDefault="00DC4E18" w:rsidP="00DC4E18">
            <w:pPr>
              <w:jc w:val="both"/>
            </w:pPr>
            <w:r>
              <w:t>In Tender documentation:</w:t>
            </w:r>
          </w:p>
          <w:p w14:paraId="3A565355" w14:textId="77777777" w:rsidR="00DC4E18" w:rsidRDefault="00DC4E18" w:rsidP="00DC4E18">
            <w:pPr>
              <w:jc w:val="both"/>
            </w:pPr>
            <w:r>
              <w:t>TD 15SER010751/Volume 1/Section 4/</w:t>
            </w:r>
            <w:r w:rsidRPr="008E7643">
              <w:t>d4k_techofferform_4dot6_en</w:t>
            </w:r>
            <w:r>
              <w:t xml:space="preserve">., there are no forms: </w:t>
            </w:r>
          </w:p>
          <w:p w14:paraId="1CC7B5C7" w14:textId="77777777" w:rsidR="00DC4E18" w:rsidRDefault="00DC4E18" w:rsidP="00DC4E18">
            <w:pPr>
              <w:pStyle w:val="ListParagraph"/>
              <w:numPr>
                <w:ilvl w:val="0"/>
                <w:numId w:val="2"/>
              </w:numPr>
              <w:jc w:val="both"/>
            </w:pPr>
            <w:r>
              <w:t>FORM 4.6.1.2</w:t>
            </w:r>
          </w:p>
          <w:p w14:paraId="34955B3A" w14:textId="77777777" w:rsidR="00DC4E18" w:rsidRDefault="00DC4E18" w:rsidP="00DC4E18">
            <w:pPr>
              <w:jc w:val="both"/>
            </w:pPr>
            <w:r>
              <w:t>STAFF TO BE EMPLOYED ON THE CONTRACT</w:t>
            </w:r>
          </w:p>
          <w:p w14:paraId="60D981EE" w14:textId="77777777" w:rsidR="00DC4E18" w:rsidRDefault="00DC4E18" w:rsidP="00DC4E18">
            <w:pPr>
              <w:jc w:val="both"/>
            </w:pPr>
            <w:r>
              <w:t>and</w:t>
            </w:r>
          </w:p>
          <w:p w14:paraId="135A7AB4" w14:textId="77777777" w:rsidR="00DC4E18" w:rsidRDefault="00DC4E18" w:rsidP="00DC4E18">
            <w:pPr>
              <w:pStyle w:val="ListParagraph"/>
              <w:numPr>
                <w:ilvl w:val="0"/>
                <w:numId w:val="2"/>
              </w:numPr>
              <w:jc w:val="both"/>
            </w:pPr>
            <w:r>
              <w:t>FORM 4.6.1.3</w:t>
            </w:r>
          </w:p>
          <w:p w14:paraId="11220CCE" w14:textId="77777777" w:rsidR="00DC4E18" w:rsidRDefault="00DC4E18" w:rsidP="00DC4E18">
            <w:pPr>
              <w:jc w:val="both"/>
            </w:pPr>
            <w:r>
              <w:t>PROFESSIONAL EXPERIENCE OF KEY STAFF</w:t>
            </w:r>
          </w:p>
          <w:p w14:paraId="62520444" w14:textId="77777777" w:rsidR="00775B74" w:rsidRPr="00F9670C" w:rsidRDefault="00DC4E18" w:rsidP="00DC4E18">
            <w:pPr>
              <w:pStyle w:val="Style6"/>
              <w:widowControl/>
              <w:ind w:left="1546" w:hanging="1546"/>
              <w:rPr>
                <w:rStyle w:val="FontStyle12"/>
                <w:sz w:val="24"/>
                <w:szCs w:val="24"/>
              </w:rPr>
            </w:pPr>
            <w:r>
              <w:t>Please clarify.</w:t>
            </w:r>
          </w:p>
        </w:tc>
        <w:tc>
          <w:tcPr>
            <w:tcW w:w="4805" w:type="dxa"/>
          </w:tcPr>
          <w:p w14:paraId="7F7A7ED7" w14:textId="77777777" w:rsidR="00775B74" w:rsidRPr="00F9670C" w:rsidRDefault="00A37A58" w:rsidP="00A37A58">
            <w:pPr>
              <w:pStyle w:val="Style6"/>
              <w:widowControl/>
              <w:ind w:left="70"/>
              <w:rPr>
                <w:rStyle w:val="FontStyle12"/>
                <w:sz w:val="24"/>
                <w:szCs w:val="24"/>
              </w:rPr>
            </w:pPr>
            <w:r w:rsidRPr="0064077A">
              <w:rPr>
                <w:rStyle w:val="FontStyle11"/>
                <w:sz w:val="24"/>
                <w:szCs w:val="24"/>
              </w:rPr>
              <w:t>Forms 4.6.1.2 and 4.6.1.3 are not applicable for this tender, therefore they are not provided in the tender documentation.</w:t>
            </w:r>
          </w:p>
        </w:tc>
      </w:tr>
      <w:tr w:rsidR="00775B74" w:rsidRPr="00F9670C" w14:paraId="18D8324C" w14:textId="77777777" w:rsidTr="003111DF">
        <w:tc>
          <w:tcPr>
            <w:tcW w:w="585" w:type="dxa"/>
          </w:tcPr>
          <w:p w14:paraId="363D2EB9" w14:textId="77777777" w:rsidR="00775B74" w:rsidRPr="00F9670C" w:rsidRDefault="00AE3EA8">
            <w:pPr>
              <w:pStyle w:val="Style6"/>
              <w:widowControl/>
              <w:rPr>
                <w:rStyle w:val="FontStyle12"/>
                <w:sz w:val="24"/>
                <w:szCs w:val="24"/>
              </w:rPr>
            </w:pPr>
            <w:r>
              <w:rPr>
                <w:rStyle w:val="FontStyle12"/>
                <w:sz w:val="24"/>
                <w:szCs w:val="24"/>
              </w:rPr>
              <w:t>3.</w:t>
            </w:r>
          </w:p>
        </w:tc>
        <w:tc>
          <w:tcPr>
            <w:tcW w:w="4210" w:type="dxa"/>
          </w:tcPr>
          <w:p w14:paraId="64364CDE" w14:textId="77777777" w:rsidR="00775B74" w:rsidRPr="00F9670C" w:rsidRDefault="005B201E" w:rsidP="004458FE">
            <w:pPr>
              <w:pStyle w:val="Style6"/>
              <w:widowControl/>
              <w:ind w:right="120"/>
              <w:jc w:val="both"/>
              <w:rPr>
                <w:rStyle w:val="FontStyle12"/>
                <w:sz w:val="24"/>
                <w:szCs w:val="24"/>
              </w:rPr>
            </w:pPr>
            <w:r>
              <w:t>For the financial capacity of tenderer you requested company’s certified statements of account for the previous three years, but considering the fact that tender submission is on February 2019 and financial statement for 2018 is still in process, is it sufficient to submit statements for 2015, 2016 and 2017 as previous years?</w:t>
            </w:r>
          </w:p>
        </w:tc>
        <w:tc>
          <w:tcPr>
            <w:tcW w:w="4805" w:type="dxa"/>
          </w:tcPr>
          <w:p w14:paraId="5EBA8B3E" w14:textId="77777777" w:rsidR="00A624BE" w:rsidRPr="00F20178" w:rsidRDefault="00A624BE" w:rsidP="00A624BE">
            <w:pPr>
              <w:pStyle w:val="Style5"/>
              <w:widowControl/>
              <w:spacing w:line="274" w:lineRule="exact"/>
              <w:ind w:left="5" w:hanging="5"/>
            </w:pPr>
            <w:r>
              <w:rPr>
                <w:rStyle w:val="FontStyle11"/>
                <w:sz w:val="24"/>
                <w:szCs w:val="24"/>
              </w:rPr>
              <w:t>If</w:t>
            </w:r>
            <w:r>
              <w:t xml:space="preserve"> the </w:t>
            </w:r>
            <w:r w:rsidRPr="00066EAB">
              <w:rPr>
                <w:rStyle w:val="FontStyle11"/>
                <w:sz w:val="24"/>
                <w:szCs w:val="24"/>
              </w:rPr>
              <w:t xml:space="preserve">financial statement for </w:t>
            </w:r>
            <w:r>
              <w:rPr>
                <w:rStyle w:val="FontStyle11"/>
                <w:sz w:val="24"/>
                <w:szCs w:val="24"/>
              </w:rPr>
              <w:t>2018 has not been yet</w:t>
            </w:r>
            <w:r w:rsidRPr="00066EAB">
              <w:rPr>
                <w:rStyle w:val="FontStyle11"/>
                <w:sz w:val="24"/>
                <w:szCs w:val="24"/>
              </w:rPr>
              <w:t xml:space="preserve"> veri</w:t>
            </w:r>
            <w:r>
              <w:rPr>
                <w:rStyle w:val="FontStyle11"/>
                <w:sz w:val="24"/>
                <w:szCs w:val="24"/>
              </w:rPr>
              <w:t>fied by a chartered accountant,</w:t>
            </w:r>
            <w:r w:rsidRPr="00066EAB">
              <w:rPr>
                <w:rStyle w:val="FontStyle11"/>
                <w:sz w:val="24"/>
                <w:szCs w:val="24"/>
              </w:rPr>
              <w:t xml:space="preserve"> </w:t>
            </w:r>
            <w:r>
              <w:rPr>
                <w:rStyle w:val="FontStyle11"/>
                <w:sz w:val="24"/>
                <w:szCs w:val="24"/>
              </w:rPr>
              <w:t>it is sufficient to submit statements for 2015, 2016 and 2017.</w:t>
            </w:r>
          </w:p>
          <w:p w14:paraId="1FC9B958" w14:textId="77777777" w:rsidR="00775B74" w:rsidRPr="00F9670C" w:rsidRDefault="00775B74">
            <w:pPr>
              <w:pStyle w:val="Style6"/>
              <w:widowControl/>
              <w:ind w:left="1886"/>
              <w:rPr>
                <w:rStyle w:val="FontStyle12"/>
                <w:sz w:val="24"/>
                <w:szCs w:val="24"/>
              </w:rPr>
            </w:pPr>
          </w:p>
        </w:tc>
      </w:tr>
      <w:tr w:rsidR="00775B74" w:rsidRPr="00F9670C" w14:paraId="05416A90" w14:textId="77777777" w:rsidTr="003111DF">
        <w:tc>
          <w:tcPr>
            <w:tcW w:w="585" w:type="dxa"/>
          </w:tcPr>
          <w:p w14:paraId="390E5278" w14:textId="77777777" w:rsidR="00775B74" w:rsidRPr="00F9670C" w:rsidRDefault="00A27821">
            <w:pPr>
              <w:pStyle w:val="Style6"/>
              <w:widowControl/>
              <w:rPr>
                <w:rStyle w:val="FontStyle12"/>
                <w:sz w:val="24"/>
                <w:szCs w:val="24"/>
              </w:rPr>
            </w:pPr>
            <w:r>
              <w:rPr>
                <w:rStyle w:val="FontStyle12"/>
                <w:sz w:val="24"/>
                <w:szCs w:val="24"/>
              </w:rPr>
              <w:t>4.</w:t>
            </w:r>
          </w:p>
        </w:tc>
        <w:tc>
          <w:tcPr>
            <w:tcW w:w="4210" w:type="dxa"/>
          </w:tcPr>
          <w:p w14:paraId="757E9CA8" w14:textId="77777777" w:rsidR="00E4407E" w:rsidRDefault="00E4407E" w:rsidP="00E4407E">
            <w:pPr>
              <w:ind w:left="50" w:right="120"/>
              <w:jc w:val="both"/>
            </w:pPr>
            <w:r>
              <w:t>In Special Conditions of Conditions of Contract, Clause 18-Insurance, subclause 18.3 is inserted: ”Insurance shall include cover against liability to third parties arising from accidents in the Country involving vehicles supplied by the Contractor and used by the Employer, the ER and/or the Final Beneficiary, the Contractor or the Engineer under the Contract.”</w:t>
            </w:r>
          </w:p>
          <w:p w14:paraId="154CDBC9" w14:textId="77777777" w:rsidR="00775B74" w:rsidRPr="00F9670C" w:rsidRDefault="00E4407E" w:rsidP="00E4407E">
            <w:pPr>
              <w:pStyle w:val="Style6"/>
              <w:widowControl/>
              <w:ind w:left="50" w:right="120"/>
              <w:jc w:val="both"/>
              <w:rPr>
                <w:rStyle w:val="FontStyle12"/>
                <w:sz w:val="24"/>
                <w:szCs w:val="24"/>
              </w:rPr>
            </w:pPr>
            <w:r>
              <w:t xml:space="preserve">Please clarify what exactly did you mean by that, considering that vehicles already have Motor Liability insurance policy for the responsibility against third parties, according to Law. TPL insurance does not cover losses which arise from </w:t>
            </w:r>
            <w:r>
              <w:lastRenderedPageBreak/>
              <w:t>registered vehicles because these must have ML insurance for third partied at the registration for traffic, according to Law too.</w:t>
            </w:r>
          </w:p>
        </w:tc>
        <w:tc>
          <w:tcPr>
            <w:tcW w:w="4805" w:type="dxa"/>
          </w:tcPr>
          <w:p w14:paraId="40986026" w14:textId="77777777" w:rsidR="003A42F7" w:rsidRPr="005B095A" w:rsidRDefault="003A42F7" w:rsidP="003A42F7">
            <w:pPr>
              <w:spacing w:before="100" w:beforeAutospacing="1" w:after="100" w:afterAutospacing="1"/>
              <w:jc w:val="both"/>
            </w:pPr>
            <w:r w:rsidRPr="005B095A">
              <w:lastRenderedPageBreak/>
              <w:t xml:space="preserve">All requirements concerning insurances during the works are regulated in accordance with the Articles 18.1 up to 18.5 of General as well as Particular Conditions of Contracts. In accordance with the requirements of Article 18.1 it is stipulates that the Contractor shall submit </w:t>
            </w:r>
            <w:r w:rsidRPr="005B095A">
              <w:rPr>
                <w:i/>
                <w:iCs/>
              </w:rPr>
              <w:t>“evidence that the insurances described in this Clause have been effected, and (b) copies of the policies for the insurances described in Sub-Clause 18.2 [Insurance for Works and Contractor's Equipment] and Sub-Clause 18.3 [Insurance against Injury to Persons and Damage to Property.”</w:t>
            </w:r>
          </w:p>
          <w:p w14:paraId="30AD5923" w14:textId="77777777" w:rsidR="00775B74" w:rsidRPr="00F9670C" w:rsidRDefault="003A42F7" w:rsidP="00FB757C">
            <w:pPr>
              <w:spacing w:before="100" w:beforeAutospacing="1" w:after="100" w:afterAutospacing="1"/>
              <w:jc w:val="both"/>
              <w:rPr>
                <w:rStyle w:val="FontStyle12"/>
                <w:sz w:val="24"/>
                <w:szCs w:val="24"/>
              </w:rPr>
            </w:pPr>
            <w:r w:rsidRPr="005B095A">
              <w:t xml:space="preserve">In accordance with that policy or </w:t>
            </w:r>
            <w:r w:rsidRPr="005B095A">
              <w:rPr>
                <w:b/>
                <w:bCs/>
              </w:rPr>
              <w:t>policies</w:t>
            </w:r>
            <w:r w:rsidRPr="005B095A">
              <w:t xml:space="preserve"> (singular or plural) which are in line with the </w:t>
            </w:r>
            <w:r w:rsidRPr="005B095A">
              <w:lastRenderedPageBreak/>
              <w:t>requirements stipulates in Articles 18.1. until 18.5. will be accepted.</w:t>
            </w:r>
          </w:p>
        </w:tc>
      </w:tr>
      <w:tr w:rsidR="00775B74" w:rsidRPr="00F9670C" w14:paraId="31F340F8" w14:textId="77777777" w:rsidTr="001A0D3D">
        <w:trPr>
          <w:trHeight w:val="7255"/>
        </w:trPr>
        <w:tc>
          <w:tcPr>
            <w:tcW w:w="585" w:type="dxa"/>
          </w:tcPr>
          <w:p w14:paraId="39A1B76E" w14:textId="77777777" w:rsidR="00775B74" w:rsidRPr="00F9670C" w:rsidRDefault="00D60124">
            <w:pPr>
              <w:pStyle w:val="Style6"/>
              <w:widowControl/>
              <w:rPr>
                <w:rStyle w:val="FontStyle12"/>
                <w:sz w:val="24"/>
                <w:szCs w:val="24"/>
              </w:rPr>
            </w:pPr>
            <w:r>
              <w:rPr>
                <w:rStyle w:val="FontStyle12"/>
                <w:sz w:val="24"/>
                <w:szCs w:val="24"/>
              </w:rPr>
              <w:lastRenderedPageBreak/>
              <w:t>5.</w:t>
            </w:r>
          </w:p>
        </w:tc>
        <w:tc>
          <w:tcPr>
            <w:tcW w:w="4210" w:type="dxa"/>
          </w:tcPr>
          <w:p w14:paraId="0C06DBBE" w14:textId="77777777" w:rsidR="00775B74" w:rsidRDefault="009C7E75" w:rsidP="009C7E75">
            <w:pPr>
              <w:pStyle w:val="Style6"/>
              <w:widowControl/>
              <w:ind w:left="50" w:right="120"/>
              <w:jc w:val="both"/>
            </w:pPr>
            <w:r>
              <w:t>In Works Contract Notice, page 4 of 7 in Technical capacity iv. And v. is written that Tenderer must have completed at least one design contract for work execution of road with accompanying infrastructure and railway infrastructure. Regarding small part of design for this project (under 5%) is it sufficient to take subcontractors to fulfill this criteria?</w:t>
            </w:r>
          </w:p>
          <w:p w14:paraId="7E28C742" w14:textId="77777777" w:rsidR="00202966" w:rsidRDefault="00202966" w:rsidP="009C7E75">
            <w:pPr>
              <w:pStyle w:val="Style6"/>
              <w:widowControl/>
              <w:ind w:left="50" w:right="120"/>
              <w:jc w:val="both"/>
            </w:pPr>
          </w:p>
          <w:p w14:paraId="7D713ADD" w14:textId="77777777" w:rsidR="00202966" w:rsidRPr="00F9670C" w:rsidRDefault="00202966" w:rsidP="009C7E75">
            <w:pPr>
              <w:pStyle w:val="Style6"/>
              <w:widowControl/>
              <w:ind w:left="50" w:right="120"/>
              <w:jc w:val="both"/>
              <w:rPr>
                <w:rStyle w:val="FontStyle12"/>
                <w:sz w:val="24"/>
                <w:szCs w:val="24"/>
              </w:rPr>
            </w:pPr>
            <w:r>
              <w:t xml:space="preserve"> </w:t>
            </w:r>
          </w:p>
        </w:tc>
        <w:tc>
          <w:tcPr>
            <w:tcW w:w="4805" w:type="dxa"/>
          </w:tcPr>
          <w:p w14:paraId="7BEC3548" w14:textId="77777777" w:rsidR="00E61D0B" w:rsidRPr="001A0D3D" w:rsidRDefault="00E61D0B" w:rsidP="00D618D5">
            <w:pPr>
              <w:pStyle w:val="Style5"/>
              <w:widowControl/>
              <w:spacing w:line="274" w:lineRule="exact"/>
              <w:ind w:left="70" w:right="65"/>
              <w:rPr>
                <w:rStyle w:val="FontStyle11"/>
                <w:sz w:val="24"/>
                <w:szCs w:val="24"/>
              </w:rPr>
            </w:pPr>
            <w:r w:rsidRPr="001A0D3D">
              <w:rPr>
                <w:rStyle w:val="FontStyle11"/>
                <w:sz w:val="24"/>
                <w:szCs w:val="24"/>
              </w:rPr>
              <w:t xml:space="preserve">An economic operator may, where appropriate and for a particular contract, rely on the capacity of other entities, regardless of the legal nature of the links which it has with them. Some examples of when it may not be considered appropriate by the Contracting Authority are when the tenderer relies mostly on the capacity of other entities or when it relies on key criteria. If the tenderer relies on other entities, it must prove to the Contracting Authority that it will have at its disposal the resources necessary to perform the contract, for example by producing a commitment on the part of those entities to place resources at its disposal. Such entities, for instance the parent company of the economic operator, must respect the same rules of eligibility and notably that of nationality, as the economic operator. Furthermore, the tender should include a separate document providing data on this third entity for the relevant selection criterion. Proof of capacity must be furnished at the request of the Contracting Authority. </w:t>
            </w:r>
          </w:p>
          <w:p w14:paraId="2FC4F4E2" w14:textId="77777777" w:rsidR="00775B74" w:rsidRPr="00F9670C" w:rsidRDefault="00E61D0B" w:rsidP="00D618D5">
            <w:pPr>
              <w:pStyle w:val="Style6"/>
              <w:widowControl/>
              <w:ind w:left="70" w:right="65"/>
              <w:jc w:val="both"/>
              <w:rPr>
                <w:rStyle w:val="FontStyle12"/>
                <w:sz w:val="24"/>
                <w:szCs w:val="24"/>
              </w:rPr>
            </w:pPr>
            <w:r w:rsidRPr="001A0D3D">
              <w:rPr>
                <w:rStyle w:val="FontStyle11"/>
                <w:sz w:val="24"/>
                <w:szCs w:val="24"/>
              </w:rPr>
              <w:t>With regard to technical and professional criteria, a tenderer may only rely on the capacities of other entities where the latter will perform the works for which these capacities are required.</w:t>
            </w:r>
          </w:p>
        </w:tc>
      </w:tr>
      <w:tr w:rsidR="00775B74" w:rsidRPr="00F9670C" w14:paraId="0E71789E" w14:textId="77777777" w:rsidTr="003111DF">
        <w:tc>
          <w:tcPr>
            <w:tcW w:w="585" w:type="dxa"/>
          </w:tcPr>
          <w:p w14:paraId="5C102CC7" w14:textId="77777777" w:rsidR="00775B74" w:rsidRPr="00F9670C" w:rsidRDefault="00DB0A4E">
            <w:pPr>
              <w:pStyle w:val="Style6"/>
              <w:widowControl/>
              <w:rPr>
                <w:rStyle w:val="FontStyle12"/>
                <w:sz w:val="24"/>
                <w:szCs w:val="24"/>
              </w:rPr>
            </w:pPr>
            <w:r>
              <w:rPr>
                <w:rStyle w:val="FontStyle12"/>
                <w:sz w:val="24"/>
                <w:szCs w:val="24"/>
              </w:rPr>
              <w:t>6.</w:t>
            </w:r>
          </w:p>
        </w:tc>
        <w:tc>
          <w:tcPr>
            <w:tcW w:w="4210" w:type="dxa"/>
          </w:tcPr>
          <w:p w14:paraId="7392C174" w14:textId="77777777" w:rsidR="00775B74" w:rsidRPr="00F9670C" w:rsidRDefault="00042021" w:rsidP="00042021">
            <w:pPr>
              <w:pStyle w:val="Style6"/>
              <w:widowControl/>
              <w:ind w:left="50" w:right="120"/>
              <w:jc w:val="both"/>
              <w:rPr>
                <w:rStyle w:val="FontStyle12"/>
                <w:sz w:val="24"/>
                <w:szCs w:val="24"/>
              </w:rPr>
            </w:pPr>
            <w:r>
              <w:t>We kindly ask to provide us with drawings in editable DWG format in purpose of preparation better quality offer.</w:t>
            </w:r>
          </w:p>
        </w:tc>
        <w:tc>
          <w:tcPr>
            <w:tcW w:w="4805" w:type="dxa"/>
          </w:tcPr>
          <w:p w14:paraId="6014864F" w14:textId="77777777" w:rsidR="00775B74" w:rsidRPr="00F9670C" w:rsidRDefault="009B78E7" w:rsidP="009B78E7">
            <w:pPr>
              <w:pStyle w:val="Style6"/>
              <w:widowControl/>
              <w:ind w:left="70"/>
              <w:rPr>
                <w:rStyle w:val="FontStyle12"/>
                <w:sz w:val="24"/>
                <w:szCs w:val="24"/>
              </w:rPr>
            </w:pPr>
            <w:r>
              <w:rPr>
                <w:rStyle w:val="FontStyle11"/>
                <w:sz w:val="24"/>
                <w:szCs w:val="24"/>
                <w:lang w:val="en-GB"/>
              </w:rPr>
              <w:t>It is not possible to provide drawings in editable DWG format.</w:t>
            </w:r>
          </w:p>
        </w:tc>
      </w:tr>
      <w:tr w:rsidR="00775B74" w:rsidRPr="00F9670C" w14:paraId="348CDD35" w14:textId="77777777" w:rsidTr="003111DF">
        <w:tc>
          <w:tcPr>
            <w:tcW w:w="585" w:type="dxa"/>
          </w:tcPr>
          <w:p w14:paraId="322CF8CD" w14:textId="77777777" w:rsidR="00775B74" w:rsidRPr="00F9670C" w:rsidRDefault="00B60E09">
            <w:pPr>
              <w:pStyle w:val="Style6"/>
              <w:widowControl/>
              <w:rPr>
                <w:rStyle w:val="FontStyle12"/>
                <w:sz w:val="24"/>
                <w:szCs w:val="24"/>
              </w:rPr>
            </w:pPr>
            <w:r>
              <w:rPr>
                <w:rStyle w:val="FontStyle12"/>
                <w:sz w:val="24"/>
                <w:szCs w:val="24"/>
              </w:rPr>
              <w:t>7.</w:t>
            </w:r>
          </w:p>
        </w:tc>
        <w:tc>
          <w:tcPr>
            <w:tcW w:w="4210" w:type="dxa"/>
          </w:tcPr>
          <w:p w14:paraId="02519B2E" w14:textId="77777777" w:rsidR="00775B74" w:rsidRPr="00F9670C" w:rsidRDefault="00FE4E53" w:rsidP="00FE4E53">
            <w:pPr>
              <w:pStyle w:val="Style6"/>
              <w:widowControl/>
              <w:ind w:left="50" w:right="120"/>
              <w:jc w:val="both"/>
              <w:rPr>
                <w:rStyle w:val="FontStyle12"/>
                <w:sz w:val="24"/>
                <w:szCs w:val="24"/>
              </w:rPr>
            </w:pPr>
            <w:r>
              <w:t xml:space="preserve">Taking in consideration that the Tender dossier has been prepared in accordance with Yellow Fidic, and that Preliminary design has been prepared, the question is at which level the Geotechnical investigation, Topography survey, Hydraulic and Hydrotechnical survey have been prepared?  </w:t>
            </w:r>
          </w:p>
        </w:tc>
        <w:tc>
          <w:tcPr>
            <w:tcW w:w="4805" w:type="dxa"/>
          </w:tcPr>
          <w:p w14:paraId="0FBAEADD" w14:textId="77777777" w:rsidR="00D618D5" w:rsidRDefault="00D618D5" w:rsidP="00D618D5">
            <w:pPr>
              <w:pStyle w:val="Style5"/>
              <w:widowControl/>
              <w:spacing w:line="274" w:lineRule="exact"/>
              <w:ind w:left="70" w:right="65"/>
              <w:rPr>
                <w:rStyle w:val="FontStyle11"/>
                <w:sz w:val="24"/>
                <w:szCs w:val="24"/>
              </w:rPr>
            </w:pPr>
            <w:r w:rsidRPr="00841141">
              <w:rPr>
                <w:rStyle w:val="FontStyle11"/>
                <w:sz w:val="24"/>
                <w:szCs w:val="24"/>
              </w:rPr>
              <w:t xml:space="preserve">All investigations were performed at the level of Preliminary Design and </w:t>
            </w:r>
            <w:r>
              <w:rPr>
                <w:rStyle w:val="FontStyle11"/>
                <w:sz w:val="24"/>
                <w:szCs w:val="24"/>
              </w:rPr>
              <w:t>insight</w:t>
            </w:r>
            <w:r w:rsidRPr="00841141">
              <w:rPr>
                <w:rStyle w:val="FontStyle11"/>
                <w:sz w:val="24"/>
                <w:szCs w:val="24"/>
              </w:rPr>
              <w:t xml:space="preserve"> to the results/reports on those investigations is possible at the Belgrade Land Development Public Agency</w:t>
            </w:r>
            <w:r>
              <w:rPr>
                <w:rStyle w:val="FontStyle11"/>
                <w:sz w:val="24"/>
                <w:szCs w:val="24"/>
                <w:lang w:val="sr-Cyrl-CS"/>
              </w:rPr>
              <w:t>.</w:t>
            </w:r>
          </w:p>
          <w:p w14:paraId="10D0C7C7" w14:textId="77777777" w:rsidR="00775B74" w:rsidRPr="00F9670C" w:rsidRDefault="00775B74">
            <w:pPr>
              <w:pStyle w:val="Style6"/>
              <w:widowControl/>
              <w:ind w:left="1886"/>
              <w:rPr>
                <w:rStyle w:val="FontStyle12"/>
                <w:sz w:val="24"/>
                <w:szCs w:val="24"/>
              </w:rPr>
            </w:pPr>
          </w:p>
        </w:tc>
      </w:tr>
      <w:tr w:rsidR="00775B74" w:rsidRPr="00F9670C" w14:paraId="6EB5A9C8" w14:textId="77777777" w:rsidTr="003111DF">
        <w:tc>
          <w:tcPr>
            <w:tcW w:w="585" w:type="dxa"/>
          </w:tcPr>
          <w:p w14:paraId="1B0F11C6" w14:textId="77777777" w:rsidR="00775B74" w:rsidRPr="00F9670C" w:rsidRDefault="00A84F35">
            <w:pPr>
              <w:pStyle w:val="Style6"/>
              <w:widowControl/>
              <w:rPr>
                <w:rStyle w:val="FontStyle12"/>
                <w:sz w:val="24"/>
                <w:szCs w:val="24"/>
              </w:rPr>
            </w:pPr>
            <w:r>
              <w:rPr>
                <w:rStyle w:val="FontStyle12"/>
                <w:sz w:val="24"/>
                <w:szCs w:val="24"/>
              </w:rPr>
              <w:t>8.</w:t>
            </w:r>
          </w:p>
        </w:tc>
        <w:tc>
          <w:tcPr>
            <w:tcW w:w="4210" w:type="dxa"/>
          </w:tcPr>
          <w:p w14:paraId="2C299267" w14:textId="77777777" w:rsidR="00775B74" w:rsidRPr="00F9670C" w:rsidRDefault="000C25CA" w:rsidP="000C25CA">
            <w:pPr>
              <w:pStyle w:val="Style6"/>
              <w:widowControl/>
              <w:ind w:left="50" w:right="30"/>
              <w:jc w:val="both"/>
              <w:rPr>
                <w:rStyle w:val="FontStyle12"/>
                <w:sz w:val="24"/>
                <w:szCs w:val="24"/>
              </w:rPr>
            </w:pPr>
            <w:r>
              <w:t>Does the Preliminary design have been prepared and approved in accordance with Location requirements valid at that time?</w:t>
            </w:r>
          </w:p>
        </w:tc>
        <w:tc>
          <w:tcPr>
            <w:tcW w:w="4805" w:type="dxa"/>
          </w:tcPr>
          <w:p w14:paraId="51E2391B" w14:textId="77777777" w:rsidR="00775B74" w:rsidRPr="00F9670C" w:rsidRDefault="00844DB4" w:rsidP="00844DB4">
            <w:pPr>
              <w:pStyle w:val="Style6"/>
              <w:widowControl/>
              <w:ind w:left="70" w:right="65"/>
              <w:jc w:val="both"/>
              <w:rPr>
                <w:rStyle w:val="FontStyle12"/>
                <w:sz w:val="24"/>
                <w:szCs w:val="24"/>
              </w:rPr>
            </w:pPr>
            <w:r>
              <w:rPr>
                <w:rStyle w:val="FontStyle11"/>
                <w:sz w:val="24"/>
                <w:szCs w:val="24"/>
              </w:rPr>
              <w:t>Yes, the Preliminary Design has been prepared and approved in accordance with Location requirements valid at that time.</w:t>
            </w:r>
          </w:p>
        </w:tc>
      </w:tr>
      <w:tr w:rsidR="00775B74" w:rsidRPr="00F9670C" w14:paraId="067A4AE9" w14:textId="77777777" w:rsidTr="003111DF">
        <w:tc>
          <w:tcPr>
            <w:tcW w:w="585" w:type="dxa"/>
          </w:tcPr>
          <w:p w14:paraId="4A3F49DA" w14:textId="77777777" w:rsidR="00775B74" w:rsidRPr="00F9670C" w:rsidRDefault="00873FB1">
            <w:pPr>
              <w:pStyle w:val="Style6"/>
              <w:widowControl/>
              <w:rPr>
                <w:rStyle w:val="FontStyle12"/>
                <w:sz w:val="24"/>
                <w:szCs w:val="24"/>
              </w:rPr>
            </w:pPr>
            <w:r>
              <w:rPr>
                <w:rStyle w:val="FontStyle12"/>
                <w:sz w:val="24"/>
                <w:szCs w:val="24"/>
              </w:rPr>
              <w:t>9.</w:t>
            </w:r>
          </w:p>
        </w:tc>
        <w:tc>
          <w:tcPr>
            <w:tcW w:w="4210" w:type="dxa"/>
          </w:tcPr>
          <w:p w14:paraId="7901151F" w14:textId="77777777" w:rsidR="00775B74" w:rsidRPr="00F9670C" w:rsidRDefault="000C03A7" w:rsidP="009C1766">
            <w:pPr>
              <w:pStyle w:val="Style6"/>
              <w:widowControl/>
              <w:ind w:left="50" w:right="30"/>
              <w:jc w:val="both"/>
              <w:rPr>
                <w:rStyle w:val="FontStyle12"/>
                <w:sz w:val="24"/>
                <w:szCs w:val="24"/>
              </w:rPr>
            </w:pPr>
            <w:r>
              <w:t>Final Beneficiary/end user is obliged to obtain Location requirements, Construction permits. Does that mean that Usage permit will be obligation of Final Beneficiary/End user?</w:t>
            </w:r>
          </w:p>
        </w:tc>
        <w:tc>
          <w:tcPr>
            <w:tcW w:w="4805" w:type="dxa"/>
          </w:tcPr>
          <w:p w14:paraId="15B5D397" w14:textId="77777777" w:rsidR="00775B74" w:rsidRDefault="00873FB1" w:rsidP="009C1766">
            <w:pPr>
              <w:pStyle w:val="Style6"/>
              <w:widowControl/>
              <w:ind w:left="70" w:right="65"/>
              <w:rPr>
                <w:rStyle w:val="FontStyle11"/>
                <w:sz w:val="24"/>
                <w:szCs w:val="24"/>
                <w:lang w:val="sr-Latn-RS"/>
              </w:rPr>
            </w:pPr>
            <w:r>
              <w:rPr>
                <w:rStyle w:val="FontStyle11"/>
                <w:sz w:val="24"/>
                <w:szCs w:val="24"/>
              </w:rPr>
              <w:t xml:space="preserve">Obligation of the Employer (End Recipient and Final Beneficiary) is to obtain </w:t>
            </w:r>
            <w:r>
              <w:rPr>
                <w:rStyle w:val="FontStyle11"/>
                <w:sz w:val="24"/>
                <w:szCs w:val="24"/>
                <w:lang w:val="sr-Latn-RS"/>
              </w:rPr>
              <w:t>Usage permit.</w:t>
            </w:r>
          </w:p>
          <w:p w14:paraId="399439CD" w14:textId="7B82F40F" w:rsidR="005F0DB4" w:rsidRPr="00F9670C" w:rsidRDefault="005F0DB4" w:rsidP="009C1766">
            <w:pPr>
              <w:pStyle w:val="Style6"/>
              <w:widowControl/>
              <w:ind w:left="70" w:right="65"/>
              <w:rPr>
                <w:rStyle w:val="FontStyle12"/>
                <w:sz w:val="24"/>
                <w:szCs w:val="24"/>
              </w:rPr>
            </w:pPr>
            <w:r>
              <w:rPr>
                <w:rStyle w:val="FontStyle11"/>
                <w:sz w:val="24"/>
                <w:szCs w:val="24"/>
                <w:lang w:val="sr-Latn-RS"/>
              </w:rPr>
              <w:t>Obligations of the Contractor are defined in Employer requirements.</w:t>
            </w:r>
          </w:p>
        </w:tc>
      </w:tr>
      <w:tr w:rsidR="00775B74" w:rsidRPr="00F9670C" w14:paraId="6D0218B8" w14:textId="77777777" w:rsidTr="003111DF">
        <w:tc>
          <w:tcPr>
            <w:tcW w:w="585" w:type="dxa"/>
          </w:tcPr>
          <w:p w14:paraId="1C989387" w14:textId="77777777" w:rsidR="00775B74" w:rsidRPr="00F9670C" w:rsidRDefault="00BA771A">
            <w:pPr>
              <w:pStyle w:val="Style6"/>
              <w:widowControl/>
              <w:rPr>
                <w:rStyle w:val="FontStyle12"/>
                <w:sz w:val="24"/>
                <w:szCs w:val="24"/>
              </w:rPr>
            </w:pPr>
            <w:r>
              <w:rPr>
                <w:rStyle w:val="FontStyle12"/>
                <w:sz w:val="24"/>
                <w:szCs w:val="24"/>
              </w:rPr>
              <w:t>10.</w:t>
            </w:r>
          </w:p>
        </w:tc>
        <w:tc>
          <w:tcPr>
            <w:tcW w:w="4210" w:type="dxa"/>
          </w:tcPr>
          <w:p w14:paraId="24607571" w14:textId="77777777" w:rsidR="00775B74" w:rsidRPr="00F9670C" w:rsidRDefault="000940CB" w:rsidP="00BE33C9">
            <w:pPr>
              <w:pStyle w:val="Style6"/>
              <w:widowControl/>
              <w:ind w:left="50" w:right="30"/>
              <w:jc w:val="both"/>
              <w:rPr>
                <w:rStyle w:val="FontStyle12"/>
                <w:sz w:val="24"/>
                <w:szCs w:val="24"/>
              </w:rPr>
            </w:pPr>
            <w:r>
              <w:t>Whether the Final Beneficiary/end user is obliged to prepare and conduct procedure for forming of construction parcel?</w:t>
            </w:r>
          </w:p>
        </w:tc>
        <w:tc>
          <w:tcPr>
            <w:tcW w:w="4805" w:type="dxa"/>
          </w:tcPr>
          <w:p w14:paraId="238629E6" w14:textId="77777777" w:rsidR="00775B74" w:rsidRPr="00F9670C" w:rsidRDefault="000940CB" w:rsidP="000519F9">
            <w:pPr>
              <w:pStyle w:val="Style6"/>
              <w:widowControl/>
              <w:ind w:left="70" w:right="65"/>
              <w:jc w:val="both"/>
              <w:rPr>
                <w:rStyle w:val="FontStyle12"/>
                <w:sz w:val="24"/>
                <w:szCs w:val="24"/>
              </w:rPr>
            </w:pPr>
            <w:r>
              <w:rPr>
                <w:rStyle w:val="FontStyle11"/>
                <w:sz w:val="24"/>
                <w:szCs w:val="24"/>
              </w:rPr>
              <w:t xml:space="preserve">Final Beneficiary/End </w:t>
            </w:r>
            <w:r>
              <w:rPr>
                <w:rStyle w:val="FontStyle11"/>
                <w:sz w:val="24"/>
                <w:szCs w:val="24"/>
                <w:lang w:val="sr-Cyrl-RS"/>
              </w:rPr>
              <w:t>Recipient</w:t>
            </w:r>
            <w:r>
              <w:rPr>
                <w:rStyle w:val="FontStyle11"/>
                <w:sz w:val="24"/>
                <w:szCs w:val="24"/>
              </w:rPr>
              <w:t xml:space="preserve"> is obliged to prepare and conduct procedure for forming of construction parcel.</w:t>
            </w:r>
          </w:p>
        </w:tc>
      </w:tr>
      <w:tr w:rsidR="00775B74" w:rsidRPr="00F9670C" w14:paraId="15E507D1" w14:textId="77777777" w:rsidTr="003111DF">
        <w:tc>
          <w:tcPr>
            <w:tcW w:w="585" w:type="dxa"/>
          </w:tcPr>
          <w:p w14:paraId="047B4595" w14:textId="77777777" w:rsidR="00775B74" w:rsidRPr="00F9670C" w:rsidRDefault="000673D4">
            <w:pPr>
              <w:pStyle w:val="Style6"/>
              <w:widowControl/>
              <w:rPr>
                <w:rStyle w:val="FontStyle12"/>
                <w:sz w:val="24"/>
                <w:szCs w:val="24"/>
              </w:rPr>
            </w:pPr>
            <w:r>
              <w:rPr>
                <w:rStyle w:val="FontStyle12"/>
                <w:sz w:val="24"/>
                <w:szCs w:val="24"/>
              </w:rPr>
              <w:t>11.</w:t>
            </w:r>
          </w:p>
        </w:tc>
        <w:tc>
          <w:tcPr>
            <w:tcW w:w="4210" w:type="dxa"/>
          </w:tcPr>
          <w:p w14:paraId="082906A0" w14:textId="77777777" w:rsidR="00775B74" w:rsidRPr="00F9670C" w:rsidRDefault="002A6E89" w:rsidP="000673D4">
            <w:pPr>
              <w:pStyle w:val="Style6"/>
              <w:widowControl/>
              <w:ind w:left="50" w:right="30"/>
              <w:jc w:val="both"/>
              <w:rPr>
                <w:rStyle w:val="FontStyle12"/>
                <w:sz w:val="24"/>
                <w:szCs w:val="24"/>
              </w:rPr>
            </w:pPr>
            <w:r>
              <w:t>In Tender Dossier Volume III, part Employers requirements – General switch for intermodal track is marked as 1TA, but in Volume III Series</w:t>
            </w:r>
            <w:r>
              <w:rPr>
                <w:lang w:val="sr-Latn-RS"/>
              </w:rPr>
              <w:t>_</w:t>
            </w:r>
            <w:r>
              <w:t>C</w:t>
            </w:r>
            <w:r>
              <w:rPr>
                <w:lang w:val="sr-Latn-RS"/>
              </w:rPr>
              <w:t>_</w:t>
            </w:r>
            <w:r>
              <w:t xml:space="preserve">Railway </w:t>
            </w:r>
            <w:r>
              <w:lastRenderedPageBreak/>
              <w:t>Infrastructure is marked as 13a? Please clarify which is correct.</w:t>
            </w:r>
          </w:p>
        </w:tc>
        <w:tc>
          <w:tcPr>
            <w:tcW w:w="4805" w:type="dxa"/>
          </w:tcPr>
          <w:p w14:paraId="28EFE305" w14:textId="77777777" w:rsidR="00775B74" w:rsidRPr="00F9670C" w:rsidRDefault="002A6E89" w:rsidP="000673D4">
            <w:pPr>
              <w:pStyle w:val="Style6"/>
              <w:widowControl/>
              <w:ind w:left="70" w:right="65"/>
              <w:jc w:val="both"/>
              <w:rPr>
                <w:rStyle w:val="FontStyle12"/>
                <w:sz w:val="24"/>
                <w:szCs w:val="24"/>
              </w:rPr>
            </w:pPr>
            <w:r>
              <w:rPr>
                <w:rStyle w:val="FontStyle11"/>
                <w:sz w:val="24"/>
                <w:szCs w:val="24"/>
              </w:rPr>
              <w:lastRenderedPageBreak/>
              <w:t xml:space="preserve">Correct marking of the switch for intermodal terminal is 1Ta, as it is specified in Volume III, part Employers requirements-General.  </w:t>
            </w:r>
          </w:p>
        </w:tc>
      </w:tr>
      <w:tr w:rsidR="00775B74" w:rsidRPr="00F9670C" w14:paraId="78A4AE55" w14:textId="77777777" w:rsidTr="003111DF">
        <w:tc>
          <w:tcPr>
            <w:tcW w:w="585" w:type="dxa"/>
          </w:tcPr>
          <w:p w14:paraId="0E699DF8" w14:textId="77777777" w:rsidR="00775B74" w:rsidRPr="00F9670C" w:rsidRDefault="006E7185">
            <w:pPr>
              <w:pStyle w:val="Style6"/>
              <w:widowControl/>
              <w:rPr>
                <w:rStyle w:val="FontStyle12"/>
                <w:sz w:val="24"/>
                <w:szCs w:val="24"/>
              </w:rPr>
            </w:pPr>
            <w:r>
              <w:rPr>
                <w:rStyle w:val="FontStyle12"/>
                <w:sz w:val="24"/>
                <w:szCs w:val="24"/>
              </w:rPr>
              <w:t>12.</w:t>
            </w:r>
          </w:p>
        </w:tc>
        <w:tc>
          <w:tcPr>
            <w:tcW w:w="4210" w:type="dxa"/>
          </w:tcPr>
          <w:p w14:paraId="04DDD9B0" w14:textId="77777777" w:rsidR="002A6E89" w:rsidRDefault="002A6E89" w:rsidP="00522D73">
            <w:pPr>
              <w:ind w:right="30"/>
              <w:jc w:val="both"/>
            </w:pPr>
            <w:r>
              <w:t>In Tender dossier, the same switch for Intermodal railway track is marked not only with the different text, but also as different type:</w:t>
            </w:r>
          </w:p>
          <w:p w14:paraId="4DF4D6F4" w14:textId="77777777" w:rsidR="002A6E89" w:rsidRDefault="002A6E89" w:rsidP="00522D73">
            <w:pPr>
              <w:ind w:right="30"/>
              <w:jc w:val="both"/>
            </w:pPr>
            <w:r>
              <w:t>-Volume V - Drawing General Layout – type 49 180-7</w:t>
            </w:r>
          </w:p>
          <w:p w14:paraId="44E73A50" w14:textId="77777777" w:rsidR="002A6E89" w:rsidRDefault="002A6E89" w:rsidP="00522D73">
            <w:pPr>
              <w:ind w:right="30"/>
              <w:jc w:val="both"/>
            </w:pPr>
            <w:r>
              <w:t>-Volume III – E.4 Railways infrastructure – 3 – simple switch, type 49-300-6</w:t>
            </w:r>
            <w:r>
              <w:sym w:font="Symbol" w:char="F0B0"/>
            </w:r>
          </w:p>
          <w:p w14:paraId="75B4E993" w14:textId="77777777" w:rsidR="00775B74" w:rsidRPr="00F9670C" w:rsidRDefault="002A6E89" w:rsidP="00522D73">
            <w:pPr>
              <w:pStyle w:val="Style6"/>
              <w:widowControl/>
              <w:ind w:right="30"/>
              <w:jc w:val="both"/>
              <w:rPr>
                <w:rStyle w:val="FontStyle12"/>
                <w:sz w:val="24"/>
                <w:szCs w:val="24"/>
              </w:rPr>
            </w:pPr>
            <w:r>
              <w:t>-Volume III – SERIES</w:t>
            </w:r>
            <w:r>
              <w:rPr>
                <w:lang w:val="sr-Latn-RS"/>
              </w:rPr>
              <w:t>_C_RAILWAZ INFRASTRUCTURE – simple arc switch 49-300-6</w:t>
            </w:r>
            <w:r>
              <w:rPr>
                <w:lang w:val="sr-Latn-RS"/>
              </w:rPr>
              <w:sym w:font="Symbol" w:char="F0B0"/>
            </w:r>
            <w:r>
              <w:rPr>
                <w:lang w:val="sr-Latn-RS"/>
              </w:rPr>
              <w:t>.</w:t>
            </w:r>
          </w:p>
        </w:tc>
        <w:tc>
          <w:tcPr>
            <w:tcW w:w="4805" w:type="dxa"/>
          </w:tcPr>
          <w:p w14:paraId="3871966D" w14:textId="77777777" w:rsidR="00775B74" w:rsidRPr="00F9670C" w:rsidRDefault="002A6E89" w:rsidP="00522D73">
            <w:pPr>
              <w:pStyle w:val="Style6"/>
              <w:widowControl/>
              <w:ind w:left="70" w:right="65"/>
              <w:jc w:val="both"/>
              <w:rPr>
                <w:rStyle w:val="FontStyle12"/>
                <w:sz w:val="24"/>
                <w:szCs w:val="24"/>
              </w:rPr>
            </w:pPr>
            <w:r>
              <w:rPr>
                <w:rStyle w:val="FontStyle11"/>
                <w:sz w:val="24"/>
                <w:szCs w:val="24"/>
              </w:rPr>
              <w:t>S</w:t>
            </w:r>
            <w:r w:rsidRPr="004D1D6D">
              <w:rPr>
                <w:rStyle w:val="FontStyle11"/>
                <w:sz w:val="24"/>
                <w:szCs w:val="24"/>
              </w:rPr>
              <w:t xml:space="preserve">witch for intermodal </w:t>
            </w:r>
            <w:r>
              <w:rPr>
                <w:rStyle w:val="FontStyle11"/>
                <w:sz w:val="24"/>
                <w:szCs w:val="24"/>
              </w:rPr>
              <w:t>railway track</w:t>
            </w:r>
            <w:r w:rsidRPr="004D1D6D">
              <w:rPr>
                <w:rStyle w:val="FontStyle11"/>
                <w:sz w:val="24"/>
                <w:szCs w:val="24"/>
              </w:rPr>
              <w:t xml:space="preserve"> is </w:t>
            </w:r>
            <w:r>
              <w:rPr>
                <w:rStyle w:val="FontStyle11"/>
                <w:sz w:val="24"/>
                <w:szCs w:val="24"/>
              </w:rPr>
              <w:t xml:space="preserve">simple switch, type </w:t>
            </w:r>
            <w:r w:rsidRPr="004D1D6D">
              <w:t>49-300-6</w:t>
            </w:r>
            <w:r w:rsidRPr="004D1D6D">
              <w:sym w:font="Symbol" w:char="F0B0"/>
            </w:r>
            <w:r w:rsidRPr="004D1D6D">
              <w:rPr>
                <w:rStyle w:val="FontStyle11"/>
                <w:sz w:val="24"/>
                <w:szCs w:val="24"/>
              </w:rPr>
              <w:t>, as</w:t>
            </w:r>
            <w:r>
              <w:rPr>
                <w:rStyle w:val="FontStyle11"/>
                <w:sz w:val="24"/>
                <w:szCs w:val="24"/>
              </w:rPr>
              <w:t xml:space="preserve"> it is specified in Volume III</w:t>
            </w:r>
            <w:r w:rsidRPr="004D1D6D">
              <w:t>– E.4 Railways infrastructure</w:t>
            </w:r>
            <w:r w:rsidR="001054FB">
              <w:t>.</w:t>
            </w:r>
          </w:p>
        </w:tc>
      </w:tr>
      <w:tr w:rsidR="00775B74" w:rsidRPr="00F9670C" w14:paraId="72A4E358" w14:textId="77777777" w:rsidTr="003111DF">
        <w:tc>
          <w:tcPr>
            <w:tcW w:w="585" w:type="dxa"/>
          </w:tcPr>
          <w:p w14:paraId="60C0F1CE" w14:textId="77777777" w:rsidR="00775B74" w:rsidRPr="00F9670C" w:rsidRDefault="00D621F7">
            <w:pPr>
              <w:pStyle w:val="Style6"/>
              <w:widowControl/>
              <w:rPr>
                <w:rStyle w:val="FontStyle12"/>
                <w:sz w:val="24"/>
                <w:szCs w:val="24"/>
              </w:rPr>
            </w:pPr>
            <w:r>
              <w:rPr>
                <w:rStyle w:val="FontStyle12"/>
                <w:sz w:val="24"/>
                <w:szCs w:val="24"/>
              </w:rPr>
              <w:t>13.</w:t>
            </w:r>
          </w:p>
        </w:tc>
        <w:tc>
          <w:tcPr>
            <w:tcW w:w="4210" w:type="dxa"/>
          </w:tcPr>
          <w:p w14:paraId="650960A6" w14:textId="77777777" w:rsidR="00775B74" w:rsidRPr="00F9670C" w:rsidRDefault="00653847" w:rsidP="00D621F7">
            <w:pPr>
              <w:pStyle w:val="Style6"/>
              <w:widowControl/>
              <w:ind w:left="50" w:right="30"/>
              <w:jc w:val="both"/>
              <w:rPr>
                <w:rStyle w:val="FontStyle12"/>
                <w:sz w:val="24"/>
                <w:szCs w:val="24"/>
              </w:rPr>
            </w:pPr>
            <w:r>
              <w:t>Please clarify what kind of weighting scale is required for measuring the cargo. Do you want to measure the cargo on trucks or rail vehicles?</w:t>
            </w:r>
          </w:p>
        </w:tc>
        <w:tc>
          <w:tcPr>
            <w:tcW w:w="4805" w:type="dxa"/>
          </w:tcPr>
          <w:p w14:paraId="33CDA0F7" w14:textId="77777777" w:rsidR="00775B74" w:rsidRPr="00F9670C" w:rsidRDefault="00653847" w:rsidP="00D621F7">
            <w:pPr>
              <w:pStyle w:val="Style6"/>
              <w:widowControl/>
              <w:ind w:left="70"/>
              <w:rPr>
                <w:rStyle w:val="FontStyle12"/>
                <w:sz w:val="24"/>
                <w:szCs w:val="24"/>
              </w:rPr>
            </w:pPr>
            <w:r>
              <w:rPr>
                <w:rStyle w:val="FontStyle11"/>
                <w:sz w:val="24"/>
                <w:szCs w:val="24"/>
              </w:rPr>
              <w:t>Scale to measure cargo on trucks.</w:t>
            </w:r>
          </w:p>
        </w:tc>
      </w:tr>
      <w:tr w:rsidR="00D53254" w:rsidRPr="00F9670C" w14:paraId="1B02DC42" w14:textId="77777777" w:rsidTr="003111DF">
        <w:tc>
          <w:tcPr>
            <w:tcW w:w="585" w:type="dxa"/>
          </w:tcPr>
          <w:p w14:paraId="3AB288FA" w14:textId="77777777" w:rsidR="00D53254" w:rsidRPr="00F9670C" w:rsidRDefault="00D53254">
            <w:pPr>
              <w:pStyle w:val="Style6"/>
              <w:widowControl/>
              <w:rPr>
                <w:rStyle w:val="FontStyle12"/>
                <w:sz w:val="24"/>
                <w:szCs w:val="24"/>
              </w:rPr>
            </w:pPr>
            <w:r>
              <w:rPr>
                <w:rStyle w:val="FontStyle12"/>
                <w:sz w:val="24"/>
                <w:szCs w:val="24"/>
              </w:rPr>
              <w:t>1</w:t>
            </w:r>
            <w:r w:rsidR="00B15C50">
              <w:rPr>
                <w:rStyle w:val="FontStyle12"/>
                <w:sz w:val="24"/>
                <w:szCs w:val="24"/>
              </w:rPr>
              <w:t>4</w:t>
            </w:r>
            <w:r>
              <w:rPr>
                <w:rStyle w:val="FontStyle12"/>
                <w:sz w:val="24"/>
                <w:szCs w:val="24"/>
              </w:rPr>
              <w:t>.</w:t>
            </w:r>
          </w:p>
        </w:tc>
        <w:tc>
          <w:tcPr>
            <w:tcW w:w="4210" w:type="dxa"/>
          </w:tcPr>
          <w:p w14:paraId="6E3DA8C6" w14:textId="77777777" w:rsidR="00D53254" w:rsidRPr="005125DB" w:rsidRDefault="00D53254" w:rsidP="00E3759F">
            <w:pPr>
              <w:pStyle w:val="BodyText"/>
              <w:spacing w:line="256" w:lineRule="auto"/>
              <w:ind w:right="147" w:firstLine="5"/>
              <w:jc w:val="both"/>
              <w:rPr>
                <w:rFonts w:ascii="Times New Roman" w:hAnsi="Times New Roman" w:cs="Times New Roman"/>
                <w:sz w:val="24"/>
                <w:szCs w:val="24"/>
              </w:rPr>
            </w:pPr>
            <w:r w:rsidRPr="005125DB">
              <w:rPr>
                <w:rFonts w:ascii="Times New Roman" w:hAnsi="Times New Roman" w:cs="Times New Roman"/>
                <w:sz w:val="24"/>
                <w:szCs w:val="24"/>
              </w:rPr>
              <w:t>In the part of Tender documentation / Volume 3/ General Technical Specifications / SERIES_C_RAILWAY INFRASTRUCTURE / C2. SUPPLY AND INSTALLATION OF CONCRETE SLEEPERS WITH ELASTIC RAIL FASTENINGS / C.2.2. Concrete sleepers is</w:t>
            </w:r>
          </w:p>
          <w:p w14:paraId="4E80987C" w14:textId="77777777" w:rsidR="00D53254" w:rsidRPr="005125DB" w:rsidRDefault="00D53254" w:rsidP="00E3759F">
            <w:pPr>
              <w:pStyle w:val="BodyText"/>
              <w:spacing w:line="252" w:lineRule="exact"/>
              <w:ind w:left="4"/>
              <w:jc w:val="both"/>
              <w:rPr>
                <w:rFonts w:ascii="Times New Roman" w:hAnsi="Times New Roman" w:cs="Times New Roman"/>
                <w:sz w:val="24"/>
                <w:szCs w:val="24"/>
              </w:rPr>
            </w:pPr>
            <w:r w:rsidRPr="005125DB">
              <w:rPr>
                <w:rFonts w:ascii="Times New Roman" w:hAnsi="Times New Roman" w:cs="Times New Roman"/>
                <w:sz w:val="24"/>
                <w:szCs w:val="24"/>
              </w:rPr>
              <w:t>stated:</w:t>
            </w:r>
          </w:p>
          <w:p w14:paraId="36669DE5" w14:textId="77777777" w:rsidR="00D53254" w:rsidRPr="005125DB" w:rsidRDefault="00D53254" w:rsidP="00E3759F">
            <w:pPr>
              <w:pStyle w:val="BodyText"/>
              <w:spacing w:before="184"/>
              <w:jc w:val="both"/>
              <w:rPr>
                <w:rFonts w:ascii="Times New Roman" w:hAnsi="Times New Roman" w:cs="Times New Roman"/>
                <w:sz w:val="24"/>
                <w:szCs w:val="24"/>
              </w:rPr>
            </w:pPr>
            <w:r w:rsidRPr="005125DB">
              <w:rPr>
                <w:rFonts w:ascii="Times New Roman" w:hAnsi="Times New Roman" w:cs="Times New Roman"/>
                <w:sz w:val="24"/>
                <w:szCs w:val="24"/>
              </w:rPr>
              <w:t>Length of sleepers (m) —2,4 or 2,5</w:t>
            </w:r>
          </w:p>
          <w:p w14:paraId="19C433A9" w14:textId="77777777" w:rsidR="00D53254" w:rsidRPr="005125DB" w:rsidRDefault="00D53254" w:rsidP="00E3759F">
            <w:pPr>
              <w:pStyle w:val="BodyText"/>
              <w:spacing w:before="6"/>
              <w:jc w:val="both"/>
              <w:rPr>
                <w:rFonts w:ascii="Times New Roman" w:hAnsi="Times New Roman" w:cs="Times New Roman"/>
                <w:sz w:val="24"/>
                <w:szCs w:val="24"/>
              </w:rPr>
            </w:pPr>
          </w:p>
          <w:p w14:paraId="16FE893A" w14:textId="77777777" w:rsidR="00D53254" w:rsidRPr="005125DB" w:rsidRDefault="00D53254" w:rsidP="00E3759F">
            <w:pPr>
              <w:pStyle w:val="BodyText"/>
              <w:spacing w:line="278" w:lineRule="auto"/>
              <w:ind w:left="1" w:right="386" w:firstLine="3"/>
              <w:jc w:val="both"/>
              <w:rPr>
                <w:rFonts w:ascii="Times New Roman" w:hAnsi="Times New Roman" w:cs="Times New Roman"/>
                <w:sz w:val="24"/>
                <w:szCs w:val="24"/>
              </w:rPr>
            </w:pPr>
            <w:r w:rsidRPr="005125DB">
              <w:rPr>
                <w:rFonts w:ascii="Times New Roman" w:hAnsi="Times New Roman" w:cs="Times New Roman"/>
                <w:sz w:val="24"/>
                <w:szCs w:val="24"/>
              </w:rPr>
              <w:t>In the part of Tender documentation / Volume 3 / Requirements for construction / E.4 Railways infrastructure-3/ 1. Railway / 1.1 Superstructure is stated:</w:t>
            </w:r>
          </w:p>
          <w:p w14:paraId="3DE33DB4" w14:textId="77777777" w:rsidR="00D53254" w:rsidRPr="005125DB" w:rsidRDefault="00D53254" w:rsidP="00E3759F">
            <w:pPr>
              <w:pStyle w:val="BodyText"/>
              <w:spacing w:before="196"/>
              <w:ind w:left="4"/>
              <w:jc w:val="both"/>
              <w:rPr>
                <w:rFonts w:ascii="Times New Roman" w:hAnsi="Times New Roman" w:cs="Times New Roman"/>
                <w:sz w:val="24"/>
                <w:szCs w:val="24"/>
              </w:rPr>
            </w:pPr>
            <w:r w:rsidRPr="005125DB">
              <w:rPr>
                <w:rFonts w:ascii="Times New Roman" w:hAnsi="Times New Roman" w:cs="Times New Roman"/>
                <w:sz w:val="24"/>
                <w:szCs w:val="24"/>
              </w:rPr>
              <w:t>Concrete cross ties (from Batajnica</w:t>
            </w:r>
            <w:r w:rsidR="000D6F2A" w:rsidRPr="005125DB">
              <w:rPr>
                <w:rFonts w:ascii="Times New Roman" w:hAnsi="Times New Roman" w:cs="Times New Roman"/>
                <w:sz w:val="24"/>
                <w:szCs w:val="24"/>
              </w:rPr>
              <w:t xml:space="preserve"> </w:t>
            </w:r>
            <w:r w:rsidRPr="005125DB">
              <w:rPr>
                <w:rFonts w:ascii="Times New Roman" w:hAnsi="Times New Roman" w:cs="Times New Roman"/>
                <w:sz w:val="24"/>
                <w:szCs w:val="24"/>
              </w:rPr>
              <w:t>Terminal exit and on the entire Terminal) 2.60m</w:t>
            </w:r>
          </w:p>
          <w:p w14:paraId="51C2EEBE" w14:textId="77777777" w:rsidR="00D53254" w:rsidRPr="005125DB" w:rsidRDefault="00D53254" w:rsidP="00E3759F">
            <w:pPr>
              <w:pStyle w:val="BodyText"/>
              <w:spacing w:before="6"/>
              <w:jc w:val="both"/>
              <w:rPr>
                <w:rFonts w:ascii="Times New Roman" w:hAnsi="Times New Roman" w:cs="Times New Roman"/>
                <w:sz w:val="24"/>
                <w:szCs w:val="24"/>
              </w:rPr>
            </w:pPr>
          </w:p>
          <w:p w14:paraId="3E4DCC62" w14:textId="77777777" w:rsidR="00D53254" w:rsidRPr="00F9670C" w:rsidRDefault="00D53254" w:rsidP="00E3759F">
            <w:pPr>
              <w:spacing w:before="1"/>
              <w:jc w:val="both"/>
              <w:rPr>
                <w:rStyle w:val="FontStyle12"/>
                <w:sz w:val="24"/>
                <w:szCs w:val="24"/>
              </w:rPr>
            </w:pPr>
            <w:r w:rsidRPr="005125DB">
              <w:rPr>
                <w:i/>
              </w:rPr>
              <w:t>Please clarify.</w:t>
            </w:r>
          </w:p>
        </w:tc>
        <w:tc>
          <w:tcPr>
            <w:tcW w:w="4805" w:type="dxa"/>
          </w:tcPr>
          <w:p w14:paraId="49A6B1E1" w14:textId="77777777" w:rsidR="00853132" w:rsidRPr="005642FA" w:rsidRDefault="00853132" w:rsidP="00514B14">
            <w:pPr>
              <w:pStyle w:val="Style6"/>
              <w:widowControl/>
              <w:ind w:left="88"/>
              <w:rPr>
                <w:rStyle w:val="FontStyle12"/>
                <w:b w:val="0"/>
                <w:sz w:val="24"/>
                <w:szCs w:val="24"/>
                <w:lang w:val="sr-Latn-RS"/>
              </w:rPr>
            </w:pPr>
            <w:r>
              <w:rPr>
                <w:rStyle w:val="FontStyle12"/>
                <w:b w:val="0"/>
                <w:sz w:val="24"/>
                <w:szCs w:val="24"/>
                <w:lang w:val="sr-Latn-RS"/>
              </w:rPr>
              <w:t>The length of concrete sleepers is 2,</w:t>
            </w:r>
            <w:r w:rsidR="00514B14">
              <w:rPr>
                <w:rStyle w:val="FontStyle12"/>
                <w:b w:val="0"/>
                <w:sz w:val="24"/>
                <w:szCs w:val="24"/>
                <w:lang w:val="sr-Latn-RS"/>
              </w:rPr>
              <w:t>4</w:t>
            </w:r>
            <w:r>
              <w:rPr>
                <w:rStyle w:val="FontStyle12"/>
                <w:b w:val="0"/>
                <w:sz w:val="24"/>
                <w:szCs w:val="24"/>
                <w:lang w:val="sr-Latn-RS"/>
              </w:rPr>
              <w:t>0</w:t>
            </w:r>
            <w:r w:rsidR="00514B14">
              <w:rPr>
                <w:rStyle w:val="FontStyle12"/>
                <w:b w:val="0"/>
                <w:sz w:val="24"/>
                <w:szCs w:val="24"/>
                <w:lang w:val="sr-Latn-RS"/>
              </w:rPr>
              <w:t>-2,50</w:t>
            </w:r>
            <w:r>
              <w:rPr>
                <w:rStyle w:val="FontStyle12"/>
                <w:b w:val="0"/>
                <w:sz w:val="24"/>
                <w:szCs w:val="24"/>
                <w:lang w:val="sr-Latn-RS"/>
              </w:rPr>
              <w:t xml:space="preserve"> m as it is stated in </w:t>
            </w:r>
            <w:r w:rsidRPr="00853132">
              <w:rPr>
                <w:rStyle w:val="FontStyle12"/>
                <w:b w:val="0"/>
                <w:sz w:val="24"/>
                <w:szCs w:val="24"/>
                <w:lang w:val="sr-Latn-RS"/>
              </w:rPr>
              <w:t xml:space="preserve">Tender documentation / </w:t>
            </w:r>
            <w:r w:rsidR="00514B14" w:rsidRPr="00514B14">
              <w:rPr>
                <w:rStyle w:val="FontStyle12"/>
                <w:b w:val="0"/>
                <w:sz w:val="24"/>
                <w:szCs w:val="24"/>
                <w:lang w:val="sr-Latn-RS"/>
              </w:rPr>
              <w:t>Volume 3/ General Technical Specifications / SERIES_C_RAILWAY INFRASTRUCTURE / C2. SUPPLY AND INSTALLATION OF CONCRETE SLEEPERS WITH ELASTIC RAIL FASTENINGS / C.2.2. Concrete sleepers</w:t>
            </w:r>
          </w:p>
        </w:tc>
      </w:tr>
      <w:tr w:rsidR="00E3759F" w:rsidRPr="00F9670C" w14:paraId="30D9CBC5" w14:textId="77777777" w:rsidTr="003111DF">
        <w:tc>
          <w:tcPr>
            <w:tcW w:w="585" w:type="dxa"/>
          </w:tcPr>
          <w:p w14:paraId="57C88972" w14:textId="77777777" w:rsidR="00E3759F" w:rsidRDefault="004E6F5B">
            <w:pPr>
              <w:pStyle w:val="Style6"/>
              <w:widowControl/>
              <w:rPr>
                <w:rStyle w:val="FontStyle12"/>
                <w:sz w:val="24"/>
                <w:szCs w:val="24"/>
              </w:rPr>
            </w:pPr>
            <w:r>
              <w:rPr>
                <w:rStyle w:val="FontStyle12"/>
                <w:sz w:val="24"/>
                <w:szCs w:val="24"/>
              </w:rPr>
              <w:t>15</w:t>
            </w:r>
            <w:r w:rsidR="00E3759F">
              <w:rPr>
                <w:rStyle w:val="FontStyle12"/>
                <w:sz w:val="24"/>
                <w:szCs w:val="24"/>
              </w:rPr>
              <w:t>.</w:t>
            </w:r>
          </w:p>
        </w:tc>
        <w:tc>
          <w:tcPr>
            <w:tcW w:w="4210" w:type="dxa"/>
          </w:tcPr>
          <w:p w14:paraId="434DC077" w14:textId="77777777" w:rsidR="00E3759F" w:rsidRPr="00FD35D5" w:rsidRDefault="00E3759F" w:rsidP="009565C7">
            <w:pPr>
              <w:pStyle w:val="BodyText"/>
              <w:spacing w:line="256" w:lineRule="auto"/>
              <w:ind w:right="610" w:firstLine="5"/>
              <w:jc w:val="both"/>
              <w:rPr>
                <w:rFonts w:ascii="Times New Roman" w:hAnsi="Times New Roman" w:cs="Times New Roman"/>
                <w:sz w:val="24"/>
                <w:szCs w:val="24"/>
              </w:rPr>
            </w:pPr>
            <w:r w:rsidRPr="00FD35D5">
              <w:rPr>
                <w:rFonts w:ascii="Times New Roman" w:hAnsi="Times New Roman" w:cs="Times New Roman"/>
                <w:sz w:val="24"/>
                <w:szCs w:val="24"/>
              </w:rPr>
              <w:t>Tender documentation / Volume 3/ General Technical Specifications / SERIES_C_RAILWAY INFRASTRUCTURE / C3. SUPPLY AND INSTALLATION WOODEN SLEEPERS WITH ELASTIC RAIL FASTENINGS</w:t>
            </w:r>
          </w:p>
          <w:p w14:paraId="18DD7E35" w14:textId="77777777" w:rsidR="00E3759F" w:rsidRPr="00D53254" w:rsidRDefault="00E3759F" w:rsidP="009565C7">
            <w:pPr>
              <w:spacing w:before="167"/>
              <w:ind w:left="1"/>
              <w:jc w:val="both"/>
              <w:rPr>
                <w:color w:val="3D3D3D"/>
              </w:rPr>
            </w:pPr>
            <w:r w:rsidRPr="00FD35D5">
              <w:rPr>
                <w:i/>
              </w:rPr>
              <w:t>Please clarify a detailed technical specifications for elastic fastenings for wooden sleepers.</w:t>
            </w:r>
          </w:p>
        </w:tc>
        <w:tc>
          <w:tcPr>
            <w:tcW w:w="4805" w:type="dxa"/>
          </w:tcPr>
          <w:p w14:paraId="12AE99EC" w14:textId="77777777" w:rsidR="006F0585" w:rsidRPr="00F0733E" w:rsidRDefault="006F0585" w:rsidP="0008137C">
            <w:pPr>
              <w:pStyle w:val="Style6"/>
              <w:widowControl/>
              <w:ind w:left="70" w:right="65"/>
              <w:jc w:val="both"/>
              <w:rPr>
                <w:rStyle w:val="FontStyle12"/>
                <w:b w:val="0"/>
                <w:sz w:val="24"/>
                <w:szCs w:val="24"/>
              </w:rPr>
            </w:pPr>
            <w:r w:rsidRPr="00F0733E">
              <w:rPr>
                <w:rStyle w:val="FontStyle12"/>
                <w:b w:val="0"/>
                <w:sz w:val="24"/>
                <w:szCs w:val="24"/>
              </w:rPr>
              <w:t xml:space="preserve">The wooden sleepers are envisaged on a very short section of the new railway track (between connection to the existing railway in Batajnica station and the first switch), the majority of railway is on the concrete sleepers with </w:t>
            </w:r>
            <w:r w:rsidR="00840B9E" w:rsidRPr="00F0733E">
              <w:rPr>
                <w:rStyle w:val="FontStyle12"/>
                <w:b w:val="0"/>
                <w:sz w:val="24"/>
                <w:szCs w:val="24"/>
              </w:rPr>
              <w:t xml:space="preserve">the </w:t>
            </w:r>
            <w:r w:rsidRPr="00F0733E">
              <w:rPr>
                <w:rStyle w:val="FontStyle12"/>
                <w:b w:val="0"/>
                <w:sz w:val="24"/>
                <w:szCs w:val="24"/>
              </w:rPr>
              <w:t>corresponding fastenings.</w:t>
            </w:r>
          </w:p>
          <w:p w14:paraId="4F53BFE9" w14:textId="77777777" w:rsidR="0008137C" w:rsidRPr="00F0733E" w:rsidRDefault="0008137C" w:rsidP="0008137C">
            <w:pPr>
              <w:pStyle w:val="Style6"/>
              <w:widowControl/>
              <w:ind w:left="70" w:right="65"/>
              <w:jc w:val="both"/>
              <w:rPr>
                <w:rStyle w:val="FontStyle12"/>
                <w:b w:val="0"/>
                <w:sz w:val="24"/>
                <w:szCs w:val="24"/>
              </w:rPr>
            </w:pPr>
            <w:r w:rsidRPr="00F0733E">
              <w:rPr>
                <w:rStyle w:val="FontStyle12"/>
                <w:b w:val="0"/>
                <w:sz w:val="24"/>
                <w:szCs w:val="24"/>
              </w:rPr>
              <w:t>Detailed technical specification for elastic fastening for wooden sleepers was not provided in the Preliminary design because it is not required for this level of design. Detailed technical specifications are part of the Design for Construction (Execution). Therefor it is the Contractors-Designers obligation to provide it under this contract.</w:t>
            </w:r>
            <w:r w:rsidR="00F5056A" w:rsidRPr="00F0733E">
              <w:rPr>
                <w:rStyle w:val="FontStyle12"/>
                <w:b w:val="0"/>
                <w:sz w:val="24"/>
                <w:szCs w:val="24"/>
              </w:rPr>
              <w:t xml:space="preserve"> </w:t>
            </w:r>
          </w:p>
          <w:p w14:paraId="5AF62AEE" w14:textId="77777777" w:rsidR="00F5056A" w:rsidRPr="00BC0BE8" w:rsidRDefault="00F5056A" w:rsidP="00F5056A">
            <w:pPr>
              <w:pStyle w:val="Style6"/>
              <w:widowControl/>
              <w:ind w:left="70" w:right="65"/>
              <w:jc w:val="both"/>
              <w:rPr>
                <w:rStyle w:val="FontStyle12"/>
                <w:b w:val="0"/>
                <w:sz w:val="24"/>
                <w:szCs w:val="24"/>
              </w:rPr>
            </w:pPr>
          </w:p>
        </w:tc>
      </w:tr>
      <w:tr w:rsidR="002131C5" w:rsidRPr="00F9670C" w14:paraId="507B02E9" w14:textId="77777777" w:rsidTr="003111DF">
        <w:tc>
          <w:tcPr>
            <w:tcW w:w="585" w:type="dxa"/>
          </w:tcPr>
          <w:p w14:paraId="2E6B2035" w14:textId="77777777" w:rsidR="002131C5" w:rsidRDefault="00E617AB">
            <w:pPr>
              <w:pStyle w:val="Style6"/>
              <w:widowControl/>
              <w:rPr>
                <w:rStyle w:val="FontStyle12"/>
                <w:sz w:val="24"/>
                <w:szCs w:val="24"/>
              </w:rPr>
            </w:pPr>
            <w:r>
              <w:rPr>
                <w:rStyle w:val="FontStyle12"/>
                <w:sz w:val="24"/>
                <w:szCs w:val="24"/>
              </w:rPr>
              <w:t>16</w:t>
            </w:r>
            <w:r w:rsidR="00741250">
              <w:rPr>
                <w:rStyle w:val="FontStyle12"/>
                <w:sz w:val="24"/>
                <w:szCs w:val="24"/>
              </w:rPr>
              <w:t>.</w:t>
            </w:r>
          </w:p>
        </w:tc>
        <w:tc>
          <w:tcPr>
            <w:tcW w:w="4210" w:type="dxa"/>
          </w:tcPr>
          <w:p w14:paraId="5EBF4A59" w14:textId="77777777" w:rsidR="002131C5" w:rsidRPr="00C23ED3" w:rsidRDefault="002131C5" w:rsidP="00903C85">
            <w:pPr>
              <w:pStyle w:val="BodyText"/>
              <w:ind w:right="120"/>
              <w:jc w:val="both"/>
              <w:rPr>
                <w:rFonts w:ascii="Times New Roman" w:hAnsi="Times New Roman" w:cs="Times New Roman"/>
                <w:sz w:val="24"/>
                <w:szCs w:val="24"/>
              </w:rPr>
            </w:pPr>
            <w:r w:rsidRPr="00C23ED3">
              <w:rPr>
                <w:rFonts w:ascii="Times New Roman" w:hAnsi="Times New Roman" w:cs="Times New Roman"/>
                <w:sz w:val="24"/>
                <w:szCs w:val="24"/>
              </w:rPr>
              <w:t>Tender documentation / Volume 3/ General Technical Specifications /</w:t>
            </w:r>
          </w:p>
          <w:p w14:paraId="6B9421E7" w14:textId="77777777" w:rsidR="002131C5" w:rsidRPr="00C23ED3" w:rsidRDefault="002131C5" w:rsidP="00903C85">
            <w:pPr>
              <w:pStyle w:val="BodyText"/>
              <w:spacing w:before="21"/>
              <w:ind w:right="120"/>
              <w:jc w:val="both"/>
              <w:rPr>
                <w:rFonts w:ascii="Times New Roman" w:hAnsi="Times New Roman" w:cs="Times New Roman"/>
                <w:sz w:val="24"/>
                <w:szCs w:val="24"/>
              </w:rPr>
            </w:pPr>
            <w:r w:rsidRPr="00C23ED3">
              <w:rPr>
                <w:rFonts w:ascii="Times New Roman" w:hAnsi="Times New Roman" w:cs="Times New Roman"/>
                <w:sz w:val="24"/>
                <w:szCs w:val="24"/>
              </w:rPr>
              <w:t xml:space="preserve">SERIES_C RAILWAY </w:t>
            </w:r>
            <w:r w:rsidRPr="00C23ED3">
              <w:rPr>
                <w:rFonts w:ascii="Times New Roman" w:hAnsi="Times New Roman" w:cs="Times New Roman"/>
                <w:sz w:val="24"/>
                <w:szCs w:val="24"/>
              </w:rPr>
              <w:lastRenderedPageBreak/>
              <w:t>INFRASTRUCTURE / SUPPLY AND INSTALLATION OF SWITCHES 49-</w:t>
            </w:r>
          </w:p>
          <w:p w14:paraId="2CE59880" w14:textId="77777777" w:rsidR="002131C5" w:rsidRPr="00C23ED3" w:rsidRDefault="002131C5" w:rsidP="00903C85">
            <w:pPr>
              <w:pStyle w:val="BodyText"/>
              <w:spacing w:before="16"/>
              <w:ind w:right="120"/>
              <w:jc w:val="both"/>
              <w:rPr>
                <w:rFonts w:ascii="Times New Roman" w:hAnsi="Times New Roman" w:cs="Times New Roman"/>
                <w:sz w:val="24"/>
                <w:szCs w:val="24"/>
              </w:rPr>
            </w:pPr>
            <w:r w:rsidRPr="00C23ED3">
              <w:rPr>
                <w:rFonts w:ascii="Times New Roman" w:hAnsi="Times New Roman" w:cs="Times New Roman"/>
                <w:sz w:val="24"/>
                <w:szCs w:val="24"/>
              </w:rPr>
              <w:t>180-7” is stated:</w:t>
            </w:r>
          </w:p>
          <w:p w14:paraId="7F182A75" w14:textId="77777777" w:rsidR="002131C5" w:rsidRPr="00C23ED3" w:rsidRDefault="002131C5" w:rsidP="00903C85">
            <w:pPr>
              <w:pStyle w:val="BodyText"/>
              <w:spacing w:before="179" w:line="278" w:lineRule="auto"/>
              <w:ind w:right="120"/>
              <w:jc w:val="both"/>
              <w:rPr>
                <w:rFonts w:ascii="Times New Roman" w:hAnsi="Times New Roman" w:cs="Times New Roman"/>
                <w:sz w:val="24"/>
                <w:szCs w:val="24"/>
              </w:rPr>
            </w:pPr>
            <w:r w:rsidRPr="00C23ED3">
              <w:rPr>
                <w:rFonts w:ascii="Times New Roman" w:hAnsi="Times New Roman" w:cs="Times New Roman"/>
                <w:sz w:val="24"/>
                <w:szCs w:val="24"/>
              </w:rPr>
              <w:t>Crossing noses and wing rails shall be made of cast manganese steel according to UIC code 866, 2nd edition, 1985.</w:t>
            </w:r>
          </w:p>
          <w:p w14:paraId="5D21C10A" w14:textId="77777777" w:rsidR="002C28EB" w:rsidRPr="00C23ED3" w:rsidRDefault="002C28EB" w:rsidP="00903C85">
            <w:pPr>
              <w:spacing w:line="254" w:lineRule="auto"/>
              <w:ind w:right="120" w:firstLine="30"/>
              <w:jc w:val="both"/>
              <w:rPr>
                <w:i/>
              </w:rPr>
            </w:pPr>
            <w:r w:rsidRPr="00C23ED3">
              <w:rPr>
                <w:i/>
              </w:rPr>
              <w:t>We kindly ask to approve the implementation of crossing noses and wing rails of forged hardened</w:t>
            </w:r>
            <w:r w:rsidRPr="00C23ED3">
              <w:rPr>
                <w:i/>
                <w:spacing w:val="-10"/>
              </w:rPr>
              <w:t xml:space="preserve"> </w:t>
            </w:r>
            <w:r w:rsidRPr="00C23ED3">
              <w:rPr>
                <w:i/>
              </w:rPr>
              <w:t>steel,</w:t>
            </w:r>
            <w:r w:rsidRPr="00C23ED3">
              <w:rPr>
                <w:i/>
                <w:spacing w:val="-16"/>
              </w:rPr>
              <w:t xml:space="preserve"> </w:t>
            </w:r>
            <w:r w:rsidRPr="00C23ED3">
              <w:rPr>
                <w:i/>
              </w:rPr>
              <w:t>because</w:t>
            </w:r>
            <w:r w:rsidRPr="00C23ED3">
              <w:rPr>
                <w:i/>
                <w:spacing w:val="12"/>
              </w:rPr>
              <w:t xml:space="preserve"> t</w:t>
            </w:r>
            <w:r w:rsidRPr="00C23ED3">
              <w:rPr>
                <w:i/>
              </w:rPr>
              <w:t>he</w:t>
            </w:r>
            <w:r w:rsidRPr="00C23ED3">
              <w:rPr>
                <w:i/>
                <w:spacing w:val="-24"/>
              </w:rPr>
              <w:t xml:space="preserve"> </w:t>
            </w:r>
            <w:r w:rsidRPr="00C23ED3">
              <w:rPr>
                <w:i/>
              </w:rPr>
              <w:t>crossing</w:t>
            </w:r>
            <w:r w:rsidRPr="00C23ED3">
              <w:rPr>
                <w:i/>
                <w:spacing w:val="-5"/>
              </w:rPr>
              <w:t xml:space="preserve"> </w:t>
            </w:r>
            <w:r w:rsidRPr="00C23ED3">
              <w:rPr>
                <w:i/>
              </w:rPr>
              <w:t>noses</w:t>
            </w:r>
            <w:r w:rsidRPr="00C23ED3">
              <w:rPr>
                <w:i/>
                <w:spacing w:val="-19"/>
              </w:rPr>
              <w:t xml:space="preserve"> </w:t>
            </w:r>
            <w:r w:rsidRPr="00C23ED3">
              <w:rPr>
                <w:i/>
              </w:rPr>
              <w:t>and wing rails of cast</w:t>
            </w:r>
            <w:r w:rsidRPr="00C23ED3">
              <w:rPr>
                <w:i/>
                <w:spacing w:val="-11"/>
              </w:rPr>
              <w:t xml:space="preserve"> </w:t>
            </w:r>
            <w:r w:rsidRPr="00C23ED3">
              <w:rPr>
                <w:i/>
              </w:rPr>
              <w:t>manganese</w:t>
            </w:r>
            <w:r w:rsidRPr="00C23ED3">
              <w:rPr>
                <w:i/>
                <w:spacing w:val="2"/>
              </w:rPr>
              <w:t xml:space="preserve"> </w:t>
            </w:r>
            <w:r w:rsidRPr="00C23ED3">
              <w:rPr>
                <w:i/>
              </w:rPr>
              <w:t>steel</w:t>
            </w:r>
            <w:r w:rsidRPr="00C23ED3">
              <w:rPr>
                <w:i/>
                <w:spacing w:val="-19"/>
              </w:rPr>
              <w:t xml:space="preserve"> </w:t>
            </w:r>
            <w:r w:rsidRPr="00C23ED3">
              <w:rPr>
                <w:i/>
              </w:rPr>
              <w:t>is</w:t>
            </w:r>
            <w:r w:rsidRPr="00C23ED3">
              <w:rPr>
                <w:i/>
                <w:spacing w:val="-11"/>
              </w:rPr>
              <w:t xml:space="preserve"> </w:t>
            </w:r>
            <w:r w:rsidRPr="00C23ED3">
              <w:rPr>
                <w:i/>
              </w:rPr>
              <w:t>not standard and suppliers do not have</w:t>
            </w:r>
            <w:r w:rsidRPr="00C23ED3">
              <w:rPr>
                <w:i/>
                <w:spacing w:val="-35"/>
              </w:rPr>
              <w:t xml:space="preserve"> </w:t>
            </w:r>
            <w:r w:rsidRPr="00C23ED3">
              <w:rPr>
                <w:i/>
              </w:rPr>
              <w:t>it.</w:t>
            </w:r>
          </w:p>
          <w:p w14:paraId="72F78441" w14:textId="77777777" w:rsidR="002131C5" w:rsidRPr="00D53254" w:rsidRDefault="002131C5" w:rsidP="009565C7">
            <w:pPr>
              <w:pStyle w:val="BodyText"/>
              <w:spacing w:line="256" w:lineRule="auto"/>
              <w:ind w:right="610" w:firstLine="5"/>
              <w:jc w:val="both"/>
              <w:rPr>
                <w:rFonts w:ascii="Times New Roman" w:hAnsi="Times New Roman" w:cs="Times New Roman"/>
                <w:color w:val="3D3D3D"/>
                <w:sz w:val="24"/>
                <w:szCs w:val="24"/>
              </w:rPr>
            </w:pPr>
          </w:p>
        </w:tc>
        <w:tc>
          <w:tcPr>
            <w:tcW w:w="4805" w:type="dxa"/>
          </w:tcPr>
          <w:p w14:paraId="1C99B9D6" w14:textId="77777777" w:rsidR="002131C5" w:rsidRPr="00F9670C" w:rsidRDefault="00514B14" w:rsidP="0008137C">
            <w:pPr>
              <w:pStyle w:val="Style6"/>
              <w:widowControl/>
              <w:ind w:left="70" w:right="65"/>
              <w:jc w:val="both"/>
              <w:rPr>
                <w:rStyle w:val="FontStyle12"/>
                <w:sz w:val="24"/>
                <w:szCs w:val="24"/>
              </w:rPr>
            </w:pPr>
            <w:r>
              <w:rPr>
                <w:rStyle w:val="FontStyle12"/>
                <w:b w:val="0"/>
                <w:sz w:val="24"/>
                <w:szCs w:val="24"/>
              </w:rPr>
              <w:lastRenderedPageBreak/>
              <w:t xml:space="preserve">It is necessary to fulfill all requirements defined in the tender dossier. From the Employer’s </w:t>
            </w:r>
            <w:r w:rsidR="0008137C" w:rsidRPr="00B6291F">
              <w:rPr>
                <w:rStyle w:val="FontStyle12"/>
                <w:b w:val="0"/>
                <w:sz w:val="24"/>
                <w:szCs w:val="24"/>
              </w:rPr>
              <w:t>recent</w:t>
            </w:r>
            <w:r>
              <w:rPr>
                <w:rStyle w:val="FontStyle12"/>
                <w:b w:val="0"/>
                <w:sz w:val="24"/>
                <w:szCs w:val="24"/>
              </w:rPr>
              <w:t xml:space="preserve"> experience, it is possible to purchase </w:t>
            </w:r>
            <w:r>
              <w:rPr>
                <w:rStyle w:val="FontStyle12"/>
                <w:b w:val="0"/>
                <w:sz w:val="24"/>
                <w:szCs w:val="24"/>
              </w:rPr>
              <w:lastRenderedPageBreak/>
              <w:t>c</w:t>
            </w:r>
            <w:r w:rsidRPr="00514B14">
              <w:rPr>
                <w:rStyle w:val="FontStyle12"/>
                <w:b w:val="0"/>
                <w:sz w:val="24"/>
                <w:szCs w:val="24"/>
              </w:rPr>
              <w:t>rossing noses and wing rails made of cast manganese steel according to UIC code 866, 2nd edition, 1985</w:t>
            </w:r>
            <w:r>
              <w:rPr>
                <w:rStyle w:val="FontStyle12"/>
                <w:b w:val="0"/>
                <w:sz w:val="24"/>
                <w:szCs w:val="24"/>
              </w:rPr>
              <w:t>.</w:t>
            </w:r>
            <w:r w:rsidR="007107C2">
              <w:rPr>
                <w:rStyle w:val="FontStyle12"/>
                <w:b w:val="0"/>
                <w:sz w:val="24"/>
                <w:szCs w:val="24"/>
              </w:rPr>
              <w:t xml:space="preserve"> </w:t>
            </w:r>
          </w:p>
        </w:tc>
      </w:tr>
      <w:tr w:rsidR="00782AD8" w:rsidRPr="00F9670C" w14:paraId="475D0BFF" w14:textId="77777777" w:rsidTr="003111DF">
        <w:tc>
          <w:tcPr>
            <w:tcW w:w="585" w:type="dxa"/>
          </w:tcPr>
          <w:p w14:paraId="1A2B7904" w14:textId="77777777" w:rsidR="00782AD8" w:rsidRDefault="003E1106">
            <w:pPr>
              <w:pStyle w:val="Style6"/>
              <w:widowControl/>
              <w:rPr>
                <w:rStyle w:val="FontStyle12"/>
                <w:sz w:val="24"/>
                <w:szCs w:val="24"/>
              </w:rPr>
            </w:pPr>
            <w:r>
              <w:rPr>
                <w:rStyle w:val="FontStyle12"/>
                <w:sz w:val="24"/>
                <w:szCs w:val="24"/>
              </w:rPr>
              <w:lastRenderedPageBreak/>
              <w:t>17</w:t>
            </w:r>
            <w:r w:rsidR="001E3C70">
              <w:rPr>
                <w:rStyle w:val="FontStyle12"/>
                <w:sz w:val="24"/>
                <w:szCs w:val="24"/>
              </w:rPr>
              <w:t>.</w:t>
            </w:r>
          </w:p>
        </w:tc>
        <w:tc>
          <w:tcPr>
            <w:tcW w:w="4210" w:type="dxa"/>
          </w:tcPr>
          <w:p w14:paraId="10CE562A" w14:textId="77777777" w:rsidR="00782AD8" w:rsidRPr="003E1106" w:rsidRDefault="00782AD8" w:rsidP="00782AD8">
            <w:pPr>
              <w:pStyle w:val="BodyText"/>
              <w:spacing w:line="259" w:lineRule="auto"/>
              <w:ind w:right="30" w:firstLine="7"/>
              <w:jc w:val="both"/>
              <w:rPr>
                <w:rFonts w:ascii="Times New Roman" w:hAnsi="Times New Roman" w:cs="Times New Roman"/>
                <w:sz w:val="24"/>
                <w:szCs w:val="24"/>
              </w:rPr>
            </w:pPr>
            <w:r w:rsidRPr="003E1106">
              <w:rPr>
                <w:rFonts w:ascii="Times New Roman" w:hAnsi="Times New Roman" w:cs="Times New Roman"/>
                <w:sz w:val="24"/>
                <w:szCs w:val="24"/>
              </w:rPr>
              <w:t>Considering that station Batajnica is not registered as international train station for goods, is there any possibility that delivery of the railway materials (rails, sleepers, fastenings) will be organised by train in the mentioned station Batajnica during the execution of the works, for the fulfilment of requirements for the Project?</w:t>
            </w:r>
          </w:p>
          <w:p w14:paraId="56CC3637" w14:textId="77777777" w:rsidR="00782AD8" w:rsidRPr="002131C5" w:rsidRDefault="00782AD8" w:rsidP="002131C5">
            <w:pPr>
              <w:pStyle w:val="BodyText"/>
              <w:rPr>
                <w:rFonts w:ascii="Times New Roman" w:hAnsi="Times New Roman" w:cs="Times New Roman"/>
                <w:color w:val="3D3D3D"/>
                <w:sz w:val="24"/>
                <w:szCs w:val="24"/>
              </w:rPr>
            </w:pPr>
          </w:p>
        </w:tc>
        <w:tc>
          <w:tcPr>
            <w:tcW w:w="4805" w:type="dxa"/>
          </w:tcPr>
          <w:p w14:paraId="7348B538" w14:textId="77777777" w:rsidR="00782AD8" w:rsidRPr="00141DAC" w:rsidRDefault="00EE7442" w:rsidP="003E1106">
            <w:pPr>
              <w:pStyle w:val="Style6"/>
              <w:widowControl/>
              <w:ind w:left="70" w:right="65"/>
              <w:jc w:val="both"/>
              <w:rPr>
                <w:rStyle w:val="FontStyle12"/>
                <w:b w:val="0"/>
                <w:sz w:val="24"/>
                <w:szCs w:val="24"/>
              </w:rPr>
            </w:pPr>
            <w:r w:rsidRPr="00141DAC">
              <w:rPr>
                <w:rStyle w:val="FontStyle12"/>
                <w:b w:val="0"/>
                <w:sz w:val="24"/>
                <w:szCs w:val="24"/>
              </w:rPr>
              <w:t>It will be allowed to deliver material needed for the terminal construction at the Batajnica station, during execution of works.</w:t>
            </w:r>
            <w:r w:rsidR="00D0605E" w:rsidRPr="00141DAC">
              <w:rPr>
                <w:rStyle w:val="FontStyle12"/>
                <w:b w:val="0"/>
                <w:sz w:val="24"/>
                <w:szCs w:val="24"/>
              </w:rPr>
              <w:t xml:space="preserve"> </w:t>
            </w:r>
          </w:p>
        </w:tc>
      </w:tr>
      <w:tr w:rsidR="008D5940" w:rsidRPr="00F9670C" w14:paraId="3BB69A3F" w14:textId="77777777" w:rsidTr="003111DF">
        <w:tc>
          <w:tcPr>
            <w:tcW w:w="585" w:type="dxa"/>
          </w:tcPr>
          <w:p w14:paraId="57A209C8" w14:textId="77777777" w:rsidR="008D5940" w:rsidRPr="001E3C70" w:rsidRDefault="009852DA" w:rsidP="001E3C70">
            <w:pPr>
              <w:pStyle w:val="Style5"/>
              <w:widowControl/>
              <w:tabs>
                <w:tab w:val="center" w:pos="252"/>
              </w:tabs>
              <w:spacing w:line="240" w:lineRule="auto"/>
              <w:jc w:val="left"/>
              <w:rPr>
                <w:rStyle w:val="FontStyle11"/>
                <w:b/>
                <w:sz w:val="24"/>
                <w:szCs w:val="24"/>
              </w:rPr>
            </w:pPr>
            <w:r>
              <w:rPr>
                <w:rStyle w:val="FontStyle12"/>
                <w:sz w:val="24"/>
                <w:szCs w:val="24"/>
              </w:rPr>
              <w:t>18</w:t>
            </w:r>
            <w:r w:rsidR="001E3C70">
              <w:rPr>
                <w:rStyle w:val="FontStyle12"/>
                <w:sz w:val="24"/>
                <w:szCs w:val="24"/>
              </w:rPr>
              <w:t>.</w:t>
            </w:r>
          </w:p>
        </w:tc>
        <w:tc>
          <w:tcPr>
            <w:tcW w:w="4210" w:type="dxa"/>
          </w:tcPr>
          <w:p w14:paraId="7E5E16D1" w14:textId="77777777" w:rsidR="008D5940" w:rsidRDefault="0057543A" w:rsidP="00425980">
            <w:pPr>
              <w:jc w:val="both"/>
              <w:rPr>
                <w:rStyle w:val="FontStyle11"/>
                <w:sz w:val="24"/>
                <w:szCs w:val="24"/>
              </w:rPr>
            </w:pPr>
            <w:r>
              <w:rPr>
                <w:rStyle w:val="FontStyle11"/>
                <w:sz w:val="24"/>
                <w:szCs w:val="24"/>
              </w:rPr>
              <w:t>Dear Sirs,</w:t>
            </w:r>
          </w:p>
          <w:p w14:paraId="7A9E55F8" w14:textId="77777777" w:rsidR="0057543A" w:rsidRDefault="0057543A" w:rsidP="00425980">
            <w:pPr>
              <w:jc w:val="both"/>
              <w:rPr>
                <w:rStyle w:val="FontStyle11"/>
                <w:sz w:val="24"/>
                <w:szCs w:val="24"/>
              </w:rPr>
            </w:pPr>
            <w:r>
              <w:rPr>
                <w:rStyle w:val="FontStyle11"/>
                <w:sz w:val="24"/>
                <w:szCs w:val="24"/>
              </w:rPr>
              <w:t xml:space="preserve">Regarding our participation in tender for </w:t>
            </w:r>
            <w:r w:rsidRPr="0057543A">
              <w:rPr>
                <w:rStyle w:val="FontStyle11"/>
                <w:i/>
                <w:sz w:val="24"/>
                <w:szCs w:val="24"/>
              </w:rPr>
              <w:t>Construction of Intermodal Terminal in Batajnica (Belgrade) Republic of Serbia</w:t>
            </w:r>
            <w:r>
              <w:rPr>
                <w:rStyle w:val="FontStyle11"/>
                <w:sz w:val="24"/>
                <w:szCs w:val="24"/>
              </w:rPr>
              <w:t>, we have noticed that:</w:t>
            </w:r>
          </w:p>
          <w:p w14:paraId="275509A6" w14:textId="77777777" w:rsidR="005B359D" w:rsidRDefault="005B359D" w:rsidP="00425980">
            <w:pPr>
              <w:jc w:val="both"/>
              <w:rPr>
                <w:rStyle w:val="FontStyle11"/>
                <w:b/>
                <w:sz w:val="24"/>
                <w:szCs w:val="24"/>
              </w:rPr>
            </w:pPr>
            <w:r w:rsidRPr="005B359D">
              <w:rPr>
                <w:rStyle w:val="FontStyle11"/>
                <w:b/>
                <w:sz w:val="24"/>
                <w:szCs w:val="24"/>
              </w:rPr>
              <w:t>Water and sewage</w:t>
            </w:r>
          </w:p>
          <w:p w14:paraId="045FF735" w14:textId="77777777" w:rsidR="005B359D" w:rsidRDefault="00514117" w:rsidP="00425980">
            <w:pPr>
              <w:jc w:val="both"/>
              <w:rPr>
                <w:rStyle w:val="FontStyle11"/>
                <w:sz w:val="24"/>
                <w:szCs w:val="24"/>
              </w:rPr>
            </w:pPr>
            <w:r>
              <w:rPr>
                <w:rStyle w:val="FontStyle11"/>
                <w:sz w:val="24"/>
                <w:szCs w:val="24"/>
              </w:rPr>
              <w:t xml:space="preserve">In Tender document “Employers requirements-General”, </w:t>
            </w:r>
            <w:r w:rsidRPr="00514117">
              <w:rPr>
                <w:rStyle w:val="FontStyle11"/>
                <w:sz w:val="24"/>
                <w:szCs w:val="24"/>
                <w:u w:val="single"/>
              </w:rPr>
              <w:t>part 3.3 Water Supply System</w:t>
            </w:r>
            <w:r>
              <w:rPr>
                <w:rStyle w:val="FontStyle11"/>
                <w:sz w:val="24"/>
                <w:szCs w:val="24"/>
              </w:rPr>
              <w:t xml:space="preserve"> it is stated:</w:t>
            </w:r>
          </w:p>
          <w:p w14:paraId="709B4DD2" w14:textId="77777777" w:rsidR="008E2C24" w:rsidRPr="005E0E90" w:rsidRDefault="008E2C24" w:rsidP="00425980">
            <w:pPr>
              <w:jc w:val="both"/>
            </w:pPr>
            <w:r>
              <w:t>„</w:t>
            </w:r>
            <w:r w:rsidRPr="005E0E90">
              <w:t>As specified in the Requirements issued by the PUC “Belgrade Waterworks and Sewerage”, there is no technical possibility for water supply connection to the public water supply system since such system has not yet been constructed in this area.</w:t>
            </w:r>
          </w:p>
          <w:p w14:paraId="11055984" w14:textId="77777777" w:rsidR="008E2C24" w:rsidRPr="005E0E90" w:rsidRDefault="008E2C24" w:rsidP="00425980">
            <w:pPr>
              <w:jc w:val="both"/>
            </w:pPr>
            <w:r w:rsidRPr="005E0E90">
              <w:t xml:space="preserve">In Phase 1, until public water supply system is constructed, Intermodal Terminal water supply can be arranged by construction of local wells. Reservoir and pumping station shall be constructed for fire protection. </w:t>
            </w:r>
          </w:p>
          <w:p w14:paraId="1547E9E8" w14:textId="77777777" w:rsidR="008E2C24" w:rsidRDefault="008E2C24" w:rsidP="00425980">
            <w:pPr>
              <w:jc w:val="both"/>
              <w:rPr>
                <w:rFonts w:eastAsia="Microsoft Sans Serif"/>
              </w:rPr>
            </w:pPr>
            <w:r w:rsidRPr="005E0E90">
              <w:t>A water</w:t>
            </w:r>
            <w:r>
              <w:t xml:space="preserve"> </w:t>
            </w:r>
            <w:r w:rsidRPr="005E0E90">
              <w:t>mete</w:t>
            </w:r>
            <w:r>
              <w:t>r</w:t>
            </w:r>
            <w:r w:rsidRPr="005E0E90">
              <w:t xml:space="preserve"> shaft the location of which shall be defined in the requirements to be issued by the PUC “Waterworks and Sewerage” shall be designed for future connection of the Intermodal Terminal to the designed </w:t>
            </w:r>
            <w:r>
              <w:sym w:font="Symbol" w:char="F066"/>
            </w:r>
            <w:r w:rsidRPr="005E0E90">
              <w:rPr>
                <w:rFonts w:eastAsia="Microsoft Sans Serif"/>
              </w:rPr>
              <w:t>150</w:t>
            </w:r>
            <w:r>
              <w:rPr>
                <w:rFonts w:eastAsia="Microsoft Sans Serif"/>
              </w:rPr>
              <w:t>mm</w:t>
            </w:r>
            <w:r w:rsidRPr="005E0E90">
              <w:rPr>
                <w:rFonts w:eastAsia="Microsoft Sans Serif"/>
              </w:rPr>
              <w:t xml:space="preserve"> public watermain to be constructed within the Approach Road 1.</w:t>
            </w:r>
            <w:r>
              <w:rPr>
                <w:rFonts w:eastAsia="Microsoft Sans Serif"/>
              </w:rPr>
              <w:t>”</w:t>
            </w:r>
          </w:p>
          <w:p w14:paraId="02E531AB" w14:textId="77777777" w:rsidR="004629C5" w:rsidRDefault="008E2C24" w:rsidP="00425980">
            <w:pPr>
              <w:jc w:val="both"/>
              <w:rPr>
                <w:rFonts w:eastAsia="Microsoft Sans Serif"/>
              </w:rPr>
            </w:pPr>
            <w:r>
              <w:rPr>
                <w:rFonts w:eastAsia="Microsoft Sans Serif"/>
              </w:rPr>
              <w:t>1.</w:t>
            </w:r>
            <w:r w:rsidR="004629C5">
              <w:rPr>
                <w:rFonts w:eastAsia="Microsoft Sans Serif"/>
              </w:rPr>
              <w:t xml:space="preserve"> Is it the Contractors obligation to design and built both the wells and the connecting water pipes along the Approach Road 1?</w:t>
            </w:r>
          </w:p>
          <w:p w14:paraId="2DAF0C11" w14:textId="77777777" w:rsidR="004629C5" w:rsidRDefault="004629C5" w:rsidP="00425980">
            <w:pPr>
              <w:jc w:val="both"/>
              <w:rPr>
                <w:rFonts w:eastAsia="Microsoft Sans Serif"/>
              </w:rPr>
            </w:pPr>
            <w:r>
              <w:rPr>
                <w:rFonts w:eastAsia="Microsoft Sans Serif"/>
              </w:rPr>
              <w:t xml:space="preserve">2. Regarding wells, is it Contractors obligation to provide hydrogeological </w:t>
            </w:r>
            <w:r>
              <w:rPr>
                <w:rFonts w:eastAsia="Microsoft Sans Serif"/>
              </w:rPr>
              <w:lastRenderedPageBreak/>
              <w:t>research and to provide all permits and consent required by legislation.</w:t>
            </w:r>
          </w:p>
          <w:p w14:paraId="2F6EC2B1" w14:textId="77777777" w:rsidR="004629C5" w:rsidRDefault="004629C5" w:rsidP="00425980">
            <w:pPr>
              <w:jc w:val="both"/>
              <w:rPr>
                <w:rFonts w:eastAsia="Microsoft Sans Serif"/>
              </w:rPr>
            </w:pPr>
            <w:r>
              <w:rPr>
                <w:rFonts w:eastAsia="Microsoft Sans Serif"/>
              </w:rPr>
              <w:t>3. Taking in account that data for building municipal water main is not known, which is the exploitation period for wells?</w:t>
            </w:r>
          </w:p>
          <w:p w14:paraId="472FDAF7" w14:textId="77777777" w:rsidR="004629C5" w:rsidRDefault="004629C5" w:rsidP="00425980">
            <w:pPr>
              <w:jc w:val="both"/>
              <w:rPr>
                <w:rFonts w:eastAsia="Microsoft Sans Serif"/>
              </w:rPr>
            </w:pPr>
            <w:r>
              <w:rPr>
                <w:rFonts w:eastAsia="Microsoft Sans Serif"/>
              </w:rPr>
              <w:t>4.</w:t>
            </w:r>
            <w:r w:rsidR="00970304">
              <w:rPr>
                <w:rFonts w:eastAsia="Microsoft Sans Serif"/>
              </w:rPr>
              <w:t xml:space="preserve"> Has the Investor provided the „Rescript for right of research” (Rešenje o istražnom pravu) from Ministry of Mining and Energy?</w:t>
            </w:r>
          </w:p>
          <w:p w14:paraId="11F00755" w14:textId="77777777" w:rsidR="00970304" w:rsidRDefault="00970304" w:rsidP="00425980">
            <w:pPr>
              <w:jc w:val="both"/>
              <w:rPr>
                <w:rFonts w:eastAsia="Microsoft Sans Serif"/>
              </w:rPr>
            </w:pPr>
            <w:r>
              <w:rPr>
                <w:rFonts w:eastAsia="Microsoft Sans Serif"/>
              </w:rPr>
              <w:t>5. If i</w:t>
            </w:r>
            <w:r w:rsidR="00E8610D">
              <w:rPr>
                <w:rFonts w:eastAsia="Microsoft Sans Serif"/>
              </w:rPr>
              <w:t>t</w:t>
            </w:r>
            <w:r>
              <w:rPr>
                <w:rFonts w:eastAsia="Microsoft Sans Serif"/>
              </w:rPr>
              <w:t xml:space="preserve"> is necessary to provide water from the well, whether it is necessary to have drinking water, i.e. whether it is possible to provide only technical water, and provide water for drinking water by installing water equipment, which is a common practice for large number of business facilities?</w:t>
            </w:r>
          </w:p>
          <w:p w14:paraId="4055F3F0" w14:textId="77777777" w:rsidR="0057543A" w:rsidRPr="0057543A" w:rsidRDefault="00B76740" w:rsidP="00425980">
            <w:pPr>
              <w:jc w:val="both"/>
              <w:rPr>
                <w:rStyle w:val="FontStyle11"/>
                <w:sz w:val="24"/>
                <w:szCs w:val="24"/>
              </w:rPr>
            </w:pPr>
            <w:r>
              <w:rPr>
                <w:rFonts w:eastAsia="Microsoft Sans Serif"/>
              </w:rPr>
              <w:t>6. Is it the Contractor’s obligation to design and build all shown sewage network on the Sinhron layout?</w:t>
            </w:r>
          </w:p>
        </w:tc>
        <w:tc>
          <w:tcPr>
            <w:tcW w:w="4805" w:type="dxa"/>
          </w:tcPr>
          <w:p w14:paraId="3C7C1089" w14:textId="77777777" w:rsidR="006575FB" w:rsidRPr="00141DAC" w:rsidRDefault="006575FB" w:rsidP="00C55911">
            <w:pPr>
              <w:pStyle w:val="Style5"/>
              <w:widowControl/>
              <w:spacing w:line="274" w:lineRule="exact"/>
              <w:rPr>
                <w:rStyle w:val="FontStyle11"/>
                <w:sz w:val="24"/>
                <w:szCs w:val="24"/>
              </w:rPr>
            </w:pPr>
          </w:p>
          <w:p w14:paraId="7E932325" w14:textId="64E15A3C" w:rsidR="00CE4FC7" w:rsidRPr="00141DAC" w:rsidRDefault="0092646B" w:rsidP="00CE4FC7">
            <w:pPr>
              <w:pStyle w:val="Style5"/>
              <w:widowControl/>
              <w:spacing w:line="274" w:lineRule="exact"/>
              <w:ind w:left="5" w:hanging="5"/>
              <w:rPr>
                <w:rStyle w:val="FontStyle11"/>
                <w:sz w:val="24"/>
                <w:szCs w:val="24"/>
              </w:rPr>
            </w:pPr>
            <w:r w:rsidRPr="00141DAC">
              <w:rPr>
                <w:rStyle w:val="FontStyle11"/>
                <w:sz w:val="24"/>
                <w:szCs w:val="24"/>
              </w:rPr>
              <w:t xml:space="preserve">1.-5. </w:t>
            </w:r>
            <w:r w:rsidR="00CE4FC7" w:rsidRPr="00141DAC">
              <w:rPr>
                <w:rStyle w:val="FontStyle11"/>
                <w:sz w:val="24"/>
                <w:szCs w:val="24"/>
              </w:rPr>
              <w:t xml:space="preserve">The construction of the well will not be the obligation of the </w:t>
            </w:r>
            <w:r w:rsidR="00E22CD7" w:rsidRPr="006D7208">
              <w:rPr>
                <w:rStyle w:val="FontStyle11"/>
                <w:sz w:val="24"/>
                <w:szCs w:val="24"/>
              </w:rPr>
              <w:t>Contractor</w:t>
            </w:r>
            <w:r w:rsidR="00CE4FC7" w:rsidRPr="006D7208">
              <w:rPr>
                <w:rStyle w:val="FontStyle11"/>
                <w:sz w:val="24"/>
                <w:szCs w:val="24"/>
              </w:rPr>
              <w:t xml:space="preserve">. </w:t>
            </w:r>
            <w:r w:rsidR="00CE4FC7" w:rsidRPr="00141DAC">
              <w:rPr>
                <w:rStyle w:val="FontStyle11"/>
                <w:sz w:val="24"/>
                <w:szCs w:val="24"/>
              </w:rPr>
              <w:t>In this respect, it is not necessary to give the price for the wells in the tender documentation in part 4. Please enter the value 0.00 in the required field.</w:t>
            </w:r>
          </w:p>
          <w:p w14:paraId="6DB8384D" w14:textId="77777777" w:rsidR="006575FB" w:rsidRPr="00141DAC" w:rsidRDefault="00CE4FC7" w:rsidP="00CE4FC7">
            <w:pPr>
              <w:pStyle w:val="Style5"/>
              <w:widowControl/>
              <w:spacing w:line="274" w:lineRule="exact"/>
              <w:ind w:left="5" w:hanging="5"/>
              <w:rPr>
                <w:rStyle w:val="FontStyle11"/>
                <w:sz w:val="24"/>
                <w:szCs w:val="24"/>
              </w:rPr>
            </w:pPr>
            <w:r w:rsidRPr="00141DAC">
              <w:rPr>
                <w:rStyle w:val="FontStyle11"/>
                <w:sz w:val="24"/>
                <w:szCs w:val="24"/>
              </w:rPr>
              <w:t>The development of technical documentation and technical control for the construction of the pipeline f 300 for water supply of the Intermodal terminal is planned by the Beoland</w:t>
            </w:r>
            <w:r w:rsidR="00B760C0" w:rsidRPr="00141DAC">
              <w:rPr>
                <w:rStyle w:val="FontStyle11"/>
                <w:sz w:val="24"/>
                <w:szCs w:val="24"/>
              </w:rPr>
              <w:t xml:space="preserve">’s budget for the </w:t>
            </w:r>
            <w:r w:rsidR="00D77B8E" w:rsidRPr="00141DAC">
              <w:rPr>
                <w:rStyle w:val="FontStyle11"/>
                <w:sz w:val="24"/>
                <w:szCs w:val="24"/>
              </w:rPr>
              <w:t>land development</w:t>
            </w:r>
            <w:r w:rsidR="00B760C0" w:rsidRPr="00141DAC">
              <w:rPr>
                <w:rStyle w:val="FontStyle11"/>
                <w:sz w:val="24"/>
                <w:szCs w:val="24"/>
              </w:rPr>
              <w:t xml:space="preserve"> and allocation</w:t>
            </w:r>
            <w:r w:rsidRPr="00141DAC">
              <w:rPr>
                <w:rStyle w:val="FontStyle11"/>
                <w:sz w:val="24"/>
                <w:szCs w:val="24"/>
              </w:rPr>
              <w:t xml:space="preserve"> for 2019</w:t>
            </w:r>
            <w:r w:rsidR="00B760C0" w:rsidRPr="00141DAC">
              <w:rPr>
                <w:rStyle w:val="FontStyle11"/>
                <w:sz w:val="24"/>
                <w:szCs w:val="24"/>
              </w:rPr>
              <w:t xml:space="preserve"> year</w:t>
            </w:r>
            <w:r w:rsidRPr="00141DAC">
              <w:rPr>
                <w:rStyle w:val="FontStyle11"/>
                <w:sz w:val="24"/>
                <w:szCs w:val="24"/>
              </w:rPr>
              <w:t xml:space="preserve">. Activities on the preparation of tenders for the </w:t>
            </w:r>
            <w:r w:rsidR="003051D3" w:rsidRPr="00141DAC">
              <w:rPr>
                <w:rStyle w:val="FontStyle11"/>
                <w:sz w:val="24"/>
                <w:szCs w:val="24"/>
              </w:rPr>
              <w:t>preparation</w:t>
            </w:r>
            <w:r w:rsidRPr="00141DAC">
              <w:rPr>
                <w:rStyle w:val="FontStyle11"/>
                <w:sz w:val="24"/>
                <w:szCs w:val="24"/>
              </w:rPr>
              <w:t xml:space="preserve"> of technical documentation have been initiated. Based on the previous experience regarding the contracting procedures and the deadlines for obtaining the Location and Construction Permit at this moment, it is estimated that the Locational Conditions will be obtained by the end of 2019, and the technical documentation is completed by the end of 2020, based on the obtained construction licenses and consents of the competent PUC BVK and the Serbian Railways.</w:t>
            </w:r>
          </w:p>
          <w:p w14:paraId="4F54D789" w14:textId="77777777" w:rsidR="00CE4FC7" w:rsidRPr="00141DAC" w:rsidRDefault="00CE4FC7" w:rsidP="00C9767A">
            <w:pPr>
              <w:pStyle w:val="Style5"/>
              <w:widowControl/>
              <w:spacing w:line="274" w:lineRule="exact"/>
              <w:ind w:left="5" w:hanging="5"/>
              <w:rPr>
                <w:rStyle w:val="FontStyle11"/>
                <w:sz w:val="24"/>
                <w:szCs w:val="24"/>
              </w:rPr>
            </w:pPr>
          </w:p>
          <w:p w14:paraId="04DD7C76" w14:textId="77777777" w:rsidR="006575FB" w:rsidRPr="00141DAC" w:rsidRDefault="006575FB" w:rsidP="00C9767A">
            <w:pPr>
              <w:pStyle w:val="Style5"/>
              <w:widowControl/>
              <w:spacing w:line="274" w:lineRule="exact"/>
              <w:ind w:left="5" w:hanging="5"/>
              <w:rPr>
                <w:rStyle w:val="FontStyle11"/>
                <w:sz w:val="24"/>
                <w:szCs w:val="24"/>
              </w:rPr>
            </w:pPr>
          </w:p>
          <w:p w14:paraId="3FFC7E9A" w14:textId="77777777" w:rsidR="005423DE" w:rsidRPr="00141DAC" w:rsidRDefault="005423DE" w:rsidP="00C9767A">
            <w:pPr>
              <w:pStyle w:val="Style5"/>
              <w:widowControl/>
              <w:spacing w:line="274" w:lineRule="exact"/>
              <w:ind w:left="5" w:hanging="5"/>
              <w:rPr>
                <w:rStyle w:val="FontStyle11"/>
                <w:sz w:val="24"/>
                <w:szCs w:val="24"/>
              </w:rPr>
            </w:pPr>
          </w:p>
          <w:p w14:paraId="5491BB93" w14:textId="77777777" w:rsidR="00301B70" w:rsidRPr="00141DAC" w:rsidRDefault="00301B70" w:rsidP="00C9767A">
            <w:pPr>
              <w:pStyle w:val="Style5"/>
              <w:widowControl/>
              <w:spacing w:line="274" w:lineRule="exact"/>
              <w:ind w:left="5" w:hanging="5"/>
              <w:rPr>
                <w:rStyle w:val="FontStyle11"/>
                <w:sz w:val="24"/>
                <w:szCs w:val="24"/>
              </w:rPr>
            </w:pPr>
            <w:r w:rsidRPr="00141DAC">
              <w:rPr>
                <w:rStyle w:val="FontStyle11"/>
                <w:sz w:val="24"/>
                <w:szCs w:val="24"/>
              </w:rPr>
              <w:t>6. It is the Contractor’s obligation to design and construct all sewerage network shown on the s</w:t>
            </w:r>
            <w:r w:rsidR="005423DE" w:rsidRPr="00141DAC">
              <w:rPr>
                <w:rStyle w:val="FontStyle11"/>
                <w:sz w:val="24"/>
                <w:szCs w:val="24"/>
              </w:rPr>
              <w:t>inhron layout.</w:t>
            </w:r>
          </w:p>
          <w:p w14:paraId="75D5EA3D" w14:textId="77777777" w:rsidR="003051D3" w:rsidRPr="00141DAC" w:rsidRDefault="003051D3" w:rsidP="00C9767A">
            <w:pPr>
              <w:pStyle w:val="Style5"/>
              <w:widowControl/>
              <w:spacing w:line="274" w:lineRule="exact"/>
              <w:ind w:left="5" w:hanging="5"/>
              <w:rPr>
                <w:rStyle w:val="FontStyle11"/>
                <w:sz w:val="24"/>
                <w:szCs w:val="24"/>
              </w:rPr>
            </w:pPr>
          </w:p>
          <w:p w14:paraId="2A881F52" w14:textId="77777777" w:rsidR="003051D3" w:rsidRPr="00141DAC" w:rsidRDefault="003051D3" w:rsidP="00C9767A">
            <w:pPr>
              <w:pStyle w:val="Style5"/>
              <w:widowControl/>
              <w:spacing w:line="274" w:lineRule="exact"/>
              <w:ind w:left="5" w:hanging="5"/>
              <w:rPr>
                <w:rStyle w:val="FontStyle11"/>
                <w:sz w:val="24"/>
                <w:szCs w:val="24"/>
              </w:rPr>
            </w:pPr>
          </w:p>
          <w:p w14:paraId="43265BB0" w14:textId="77777777" w:rsidR="0092646B" w:rsidRPr="00141DAC" w:rsidRDefault="0092646B" w:rsidP="00C9767A">
            <w:pPr>
              <w:pStyle w:val="Style5"/>
              <w:widowControl/>
              <w:spacing w:line="274" w:lineRule="exact"/>
              <w:ind w:left="5" w:hanging="5"/>
              <w:rPr>
                <w:rStyle w:val="FontStyle11"/>
                <w:sz w:val="24"/>
                <w:szCs w:val="24"/>
              </w:rPr>
            </w:pPr>
          </w:p>
          <w:p w14:paraId="3198530B" w14:textId="77777777" w:rsidR="006575FB" w:rsidRPr="00141DAC" w:rsidRDefault="006575FB" w:rsidP="00C9767A">
            <w:pPr>
              <w:pStyle w:val="Style5"/>
              <w:widowControl/>
              <w:spacing w:line="274" w:lineRule="exact"/>
              <w:ind w:left="5" w:hanging="5"/>
              <w:rPr>
                <w:rStyle w:val="FontStyle11"/>
                <w:sz w:val="24"/>
                <w:szCs w:val="24"/>
              </w:rPr>
            </w:pPr>
          </w:p>
        </w:tc>
      </w:tr>
      <w:tr w:rsidR="00817432" w:rsidRPr="00F9670C" w14:paraId="14A74511" w14:textId="77777777" w:rsidTr="003111DF">
        <w:tc>
          <w:tcPr>
            <w:tcW w:w="585" w:type="dxa"/>
          </w:tcPr>
          <w:p w14:paraId="67484724" w14:textId="77777777" w:rsidR="00817432" w:rsidRPr="00953C8F" w:rsidRDefault="009852DA" w:rsidP="00953C8F">
            <w:pPr>
              <w:pStyle w:val="Style5"/>
              <w:widowControl/>
              <w:tabs>
                <w:tab w:val="center" w:pos="252"/>
              </w:tabs>
              <w:spacing w:line="240" w:lineRule="auto"/>
              <w:jc w:val="left"/>
              <w:rPr>
                <w:rStyle w:val="FontStyle11"/>
                <w:b/>
                <w:sz w:val="24"/>
                <w:szCs w:val="24"/>
              </w:rPr>
            </w:pPr>
            <w:r>
              <w:rPr>
                <w:rStyle w:val="FontStyle11"/>
                <w:b/>
                <w:sz w:val="24"/>
                <w:szCs w:val="24"/>
              </w:rPr>
              <w:t>19</w:t>
            </w:r>
            <w:r w:rsidR="003B6088" w:rsidRPr="00953C8F">
              <w:rPr>
                <w:rStyle w:val="FontStyle11"/>
                <w:b/>
                <w:sz w:val="24"/>
                <w:szCs w:val="24"/>
              </w:rPr>
              <w:t>.</w:t>
            </w:r>
          </w:p>
        </w:tc>
        <w:tc>
          <w:tcPr>
            <w:tcW w:w="4210" w:type="dxa"/>
          </w:tcPr>
          <w:p w14:paraId="5ADE0B44" w14:textId="77777777" w:rsidR="00C6697B" w:rsidRDefault="00B7614A" w:rsidP="00C6697B">
            <w:pPr>
              <w:jc w:val="both"/>
            </w:pPr>
            <w:r>
              <w:t xml:space="preserve">In Tender document </w:t>
            </w:r>
            <w:r w:rsidRPr="0050717A">
              <w:rPr>
                <w:b/>
              </w:rPr>
              <w:t>„Employers requirements-General”</w:t>
            </w:r>
            <w:r>
              <w:t xml:space="preserve">, part </w:t>
            </w:r>
            <w:r w:rsidRPr="00BE5EF8">
              <w:rPr>
                <w:u w:val="single"/>
              </w:rPr>
              <w:t xml:space="preserve">4.1.4 </w:t>
            </w:r>
            <w:r w:rsidR="00425980" w:rsidRPr="00BE5EF8">
              <w:rPr>
                <w:u w:val="single"/>
              </w:rPr>
              <w:t>Environmental Impact Assessment</w:t>
            </w:r>
            <w:r w:rsidR="00BE5EF8">
              <w:t xml:space="preserve"> it is stated:</w:t>
            </w:r>
          </w:p>
          <w:p w14:paraId="13630BB8" w14:textId="77777777" w:rsidR="00BE5EF8" w:rsidRPr="0050717A" w:rsidRDefault="0050717A" w:rsidP="00BE5EF8">
            <w:pPr>
              <w:jc w:val="both"/>
              <w:rPr>
                <w:b/>
                <w:szCs w:val="22"/>
              </w:rPr>
            </w:pPr>
            <w:r w:rsidRPr="0050717A">
              <w:rPr>
                <w:b/>
                <w:szCs w:val="22"/>
              </w:rPr>
              <w:t>”</w:t>
            </w:r>
            <w:r w:rsidR="00BE5EF8" w:rsidRPr="0050717A">
              <w:rPr>
                <w:b/>
                <w:szCs w:val="22"/>
              </w:rPr>
              <w:t xml:space="preserve">Technical Documents shall comply with all laws and regulations related to environmental protection, thus making projected activities environmently-friendly, such as: </w:t>
            </w:r>
          </w:p>
          <w:p w14:paraId="59C5476B" w14:textId="77777777" w:rsidR="00BE5EF8" w:rsidRPr="005159C5" w:rsidRDefault="00A15FAA" w:rsidP="00C6697B">
            <w:pPr>
              <w:jc w:val="both"/>
              <w:rPr>
                <w:b/>
                <w:lang w:val="sr-Latn-RS"/>
              </w:rPr>
            </w:pPr>
            <w:r w:rsidRPr="005159C5">
              <w:rPr>
                <w:b/>
                <w:lang w:val="sr-Latn-RS"/>
              </w:rPr>
              <w:t>....</w:t>
            </w:r>
          </w:p>
          <w:p w14:paraId="0051A8D8" w14:textId="77777777" w:rsidR="00A15FAA" w:rsidRPr="005159C5" w:rsidRDefault="00A15FAA" w:rsidP="00A15FAA">
            <w:pPr>
              <w:widowControl/>
              <w:autoSpaceDE/>
              <w:autoSpaceDN/>
              <w:adjustRightInd/>
              <w:spacing w:before="60" w:after="60"/>
              <w:jc w:val="both"/>
              <w:rPr>
                <w:b/>
              </w:rPr>
            </w:pPr>
            <w:r w:rsidRPr="005159C5">
              <w:rPr>
                <w:b/>
              </w:rPr>
              <w:t>Regulation on limit values of pollutants in surface and ground waters and sediments, and deadlines for achieving them (Official Gazette of the RS, No. 53/05, 3705, 101/07, 65/08 and 16/2011);</w:t>
            </w:r>
          </w:p>
          <w:p w14:paraId="57C71932" w14:textId="77777777" w:rsidR="0050717A" w:rsidRPr="005159C5" w:rsidRDefault="0050717A" w:rsidP="00A15FAA">
            <w:pPr>
              <w:widowControl/>
              <w:autoSpaceDE/>
              <w:autoSpaceDN/>
              <w:adjustRightInd/>
              <w:spacing w:before="60" w:after="60"/>
              <w:jc w:val="both"/>
              <w:rPr>
                <w:b/>
              </w:rPr>
            </w:pPr>
            <w:r w:rsidRPr="005159C5">
              <w:rPr>
                <w:b/>
              </w:rPr>
              <w:t>…”</w:t>
            </w:r>
          </w:p>
          <w:p w14:paraId="0C1E6BE2" w14:textId="77777777" w:rsidR="0050717A" w:rsidRPr="00685871" w:rsidRDefault="0050717A" w:rsidP="00A15FAA">
            <w:pPr>
              <w:widowControl/>
              <w:autoSpaceDE/>
              <w:autoSpaceDN/>
              <w:adjustRightInd/>
              <w:spacing w:before="60" w:after="60"/>
              <w:jc w:val="both"/>
            </w:pPr>
            <w:r>
              <w:t>7.</w:t>
            </w:r>
            <w:r w:rsidR="002D4C7A">
              <w:t xml:space="preserve"> At Mentioned regulation it is needed to </w:t>
            </w:r>
            <w:r w:rsidR="00E8610D">
              <w:t>achieve</w:t>
            </w:r>
            <w:r w:rsidR="002D4C7A">
              <w:t xml:space="preserve"> the content </w:t>
            </w:r>
            <w:r w:rsidR="002D4C7A" w:rsidRPr="00685871">
              <w:t xml:space="preserve">of petroleum less </w:t>
            </w:r>
            <w:r w:rsidR="00E8610D" w:rsidRPr="00685871">
              <w:t>than</w:t>
            </w:r>
            <w:r w:rsidR="002D4C7A" w:rsidRPr="00685871">
              <w:t xml:space="preserve"> 0,05mg/l for watercourse of II class, which is hardly to achieve, using customary oil separators with coalescent filter. Do we need to foresee and install for rainfall from roads some other separators with special treatment to reach requested values or separators according to standard SRPS EN858-1, with coalescent filter?</w:t>
            </w:r>
          </w:p>
          <w:p w14:paraId="061D815D" w14:textId="77777777" w:rsidR="002D4C7A" w:rsidRDefault="002D4C7A" w:rsidP="00A15FAA">
            <w:pPr>
              <w:widowControl/>
              <w:autoSpaceDE/>
              <w:autoSpaceDN/>
              <w:adjustRightInd/>
              <w:spacing w:before="60" w:after="60"/>
              <w:jc w:val="both"/>
            </w:pPr>
            <w:r w:rsidRPr="00685871">
              <w:t xml:space="preserve">8. Polluted and other garbage shall be collected at </w:t>
            </w:r>
            <w:r w:rsidR="00BF6A51" w:rsidRPr="00685871">
              <w:t>waste containers</w:t>
            </w:r>
            <w:r w:rsidR="00BF6A51">
              <w:t xml:space="preserve"> situated in a separated place with the washing tap and floor drain. Is it necessary to collect drain waste water from that part through separated pipes to Containers with hazardous materials and take away out from the Terminal?</w:t>
            </w:r>
          </w:p>
          <w:p w14:paraId="34F89278" w14:textId="77777777" w:rsidR="00BF044D" w:rsidRDefault="00BF6A51" w:rsidP="00A15FAA">
            <w:pPr>
              <w:widowControl/>
              <w:autoSpaceDE/>
              <w:autoSpaceDN/>
              <w:adjustRightInd/>
              <w:spacing w:before="60" w:after="60"/>
              <w:jc w:val="both"/>
            </w:pPr>
            <w:r>
              <w:t>9. According Tender</w:t>
            </w:r>
            <w:r w:rsidR="00BF044D">
              <w:t xml:space="preserve"> documentation there are only small kitchen, and it is n</w:t>
            </w:r>
            <w:r w:rsidR="00E8610D">
              <w:t>o</w:t>
            </w:r>
            <w:r w:rsidR="00BF044D">
              <w:t>t necessary to foresee grease separator. Please confirm.</w:t>
            </w:r>
          </w:p>
          <w:p w14:paraId="3F17DC96" w14:textId="77777777" w:rsidR="002133A6" w:rsidRDefault="00BF044D" w:rsidP="00A15FAA">
            <w:pPr>
              <w:widowControl/>
              <w:autoSpaceDE/>
              <w:autoSpaceDN/>
              <w:adjustRightInd/>
              <w:spacing w:before="60" w:after="60"/>
              <w:jc w:val="both"/>
            </w:pPr>
            <w:r>
              <w:lastRenderedPageBreak/>
              <w:t xml:space="preserve">10. </w:t>
            </w:r>
            <w:r w:rsidR="002133A6">
              <w:t>In Tender document F.1 water supply, Plant watering is mentioned. What kind of irrigator is planned?</w:t>
            </w:r>
          </w:p>
          <w:p w14:paraId="11763BEA" w14:textId="77777777" w:rsidR="00BF6A51" w:rsidRPr="004B69C7" w:rsidRDefault="002133A6" w:rsidP="00A15FAA">
            <w:pPr>
              <w:widowControl/>
              <w:autoSpaceDE/>
              <w:autoSpaceDN/>
              <w:adjustRightInd/>
              <w:spacing w:before="60" w:after="60"/>
              <w:jc w:val="both"/>
            </w:pPr>
            <w:r>
              <w:t>11. Requested values for Waste water treatment unit are:</w:t>
            </w:r>
            <w:r w:rsidR="00BF6A51">
              <w:t xml:space="preserve"> </w:t>
            </w:r>
          </w:p>
          <w:p w14:paraId="7FE5362D" w14:textId="77777777" w:rsidR="00A15FAA" w:rsidRDefault="00FE4CEA" w:rsidP="00C6697B">
            <w:pPr>
              <w:jc w:val="both"/>
              <w:rPr>
                <w:lang w:val="sr-Latn-RS"/>
              </w:rPr>
            </w:pPr>
            <w:r>
              <w:rPr>
                <w:lang w:val="sr-Latn-RS"/>
              </w:rPr>
              <w:t>The contents of the hazardous substances in the effluent upon treatment shall be within the following limits:</w:t>
            </w:r>
          </w:p>
          <w:p w14:paraId="175C6911" w14:textId="77777777" w:rsidR="00FE4CEA" w:rsidRDefault="00FE4CEA" w:rsidP="00C6697B">
            <w:pPr>
              <w:jc w:val="both"/>
              <w:rPr>
                <w:lang w:val="sr-Latn-RS"/>
              </w:rPr>
            </w:pPr>
            <w:r>
              <w:rPr>
                <w:lang w:val="sr-Latn-RS"/>
              </w:rPr>
              <w:t>BOD5 daily average up to 20 mg/l O2</w:t>
            </w:r>
          </w:p>
          <w:p w14:paraId="4F376972" w14:textId="77777777" w:rsidR="00FE4CEA" w:rsidRDefault="00FE4CEA" w:rsidP="00C6697B">
            <w:pPr>
              <w:jc w:val="both"/>
              <w:rPr>
                <w:lang w:val="sr-Latn-RS"/>
              </w:rPr>
            </w:pPr>
            <w:r>
              <w:rPr>
                <w:lang w:val="sr-Latn-RS"/>
              </w:rPr>
              <w:t>Suspended solids up to 30 mg/l</w:t>
            </w:r>
          </w:p>
          <w:p w14:paraId="1BD52411" w14:textId="77777777" w:rsidR="00FE4CEA" w:rsidRDefault="00FE4CEA" w:rsidP="00C6697B">
            <w:pPr>
              <w:jc w:val="both"/>
              <w:rPr>
                <w:lang w:val="sr-Latn-RS"/>
              </w:rPr>
            </w:pPr>
            <w:r>
              <w:rPr>
                <w:lang w:val="sr-Latn-RS"/>
              </w:rPr>
              <w:t>Fat and oil up to 0,1 mg/l</w:t>
            </w:r>
          </w:p>
          <w:p w14:paraId="5AD557FF" w14:textId="77777777" w:rsidR="00FE4CEA" w:rsidRDefault="00FE4CEA" w:rsidP="00C6697B">
            <w:pPr>
              <w:jc w:val="both"/>
              <w:rPr>
                <w:lang w:val="sr-Latn-RS"/>
              </w:rPr>
            </w:pPr>
            <w:r>
              <w:rPr>
                <w:lang w:val="sr-Latn-RS"/>
              </w:rPr>
              <w:t>Hazardous substances within Class II water quality limit values</w:t>
            </w:r>
            <w:r w:rsidR="001C3B70">
              <w:rPr>
                <w:lang w:val="sr-Latn-RS"/>
              </w:rPr>
              <w:t>.</w:t>
            </w:r>
          </w:p>
          <w:p w14:paraId="459DB7D7" w14:textId="77777777" w:rsidR="001C3B70" w:rsidRDefault="001C3B70" w:rsidP="00C6697B">
            <w:pPr>
              <w:jc w:val="both"/>
              <w:rPr>
                <w:lang w:val="sr-Latn-RS"/>
              </w:rPr>
            </w:pPr>
          </w:p>
          <w:p w14:paraId="4EA283A7" w14:textId="77777777" w:rsidR="001C3B70" w:rsidRDefault="001C3B70" w:rsidP="00C6697B">
            <w:pPr>
              <w:jc w:val="both"/>
              <w:rPr>
                <w:lang w:val="sr-Latn-RS"/>
              </w:rPr>
            </w:pPr>
            <w:r>
              <w:rPr>
                <w:lang w:val="sr-Latn-RS"/>
              </w:rPr>
              <w:t>Typically, tretman wastewater for smaller devices implies a secondary treatment., i.e. Biological purification that ensures the removal of dissolved organic matter, colloidal and non-liquefied solids:</w:t>
            </w:r>
          </w:p>
          <w:p w14:paraId="4BA1819F" w14:textId="77777777" w:rsidR="001C3B70" w:rsidRDefault="001C3B70" w:rsidP="00C6697B">
            <w:pPr>
              <w:jc w:val="both"/>
              <w:rPr>
                <w:lang w:val="sr-Latn-RS"/>
              </w:rPr>
            </w:pPr>
            <w:r>
              <w:rPr>
                <w:lang w:val="sr-Latn-RS"/>
              </w:rPr>
              <w:t>BPK5 25mg / l</w:t>
            </w:r>
            <w:r>
              <w:rPr>
                <w:rFonts w:ascii="Calibri" w:hAnsi="Calibri"/>
                <w:lang w:val="sr-Latn-RS"/>
              </w:rPr>
              <w:t>;</w:t>
            </w:r>
          </w:p>
          <w:p w14:paraId="0DF69671" w14:textId="77777777" w:rsidR="001C3B70" w:rsidRDefault="001C3B70" w:rsidP="00C6697B">
            <w:pPr>
              <w:jc w:val="both"/>
              <w:rPr>
                <w:lang w:val="sr-Latn-RS"/>
              </w:rPr>
            </w:pPr>
            <w:r>
              <w:rPr>
                <w:lang w:val="sr-Latn-RS"/>
              </w:rPr>
              <w:t>HPK 125mg /l</w:t>
            </w:r>
            <w:r>
              <w:rPr>
                <w:rFonts w:ascii="Calibri" w:hAnsi="Calibri"/>
                <w:lang w:val="sr-Latn-RS"/>
              </w:rPr>
              <w:t>;</w:t>
            </w:r>
          </w:p>
          <w:p w14:paraId="47F6332F" w14:textId="77777777" w:rsidR="001C3B70" w:rsidRDefault="001C3B70" w:rsidP="00C6697B">
            <w:pPr>
              <w:jc w:val="both"/>
              <w:rPr>
                <w:lang w:val="sr-Latn-RS"/>
              </w:rPr>
            </w:pPr>
            <w:r>
              <w:rPr>
                <w:lang w:val="sr-Latn-RS"/>
              </w:rPr>
              <w:t>Total suspended mat 35mg /l.</w:t>
            </w:r>
          </w:p>
          <w:p w14:paraId="4B166C83" w14:textId="77777777" w:rsidR="001C3B70" w:rsidRPr="001C3B70" w:rsidRDefault="001C3B70" w:rsidP="00C6697B">
            <w:pPr>
              <w:jc w:val="both"/>
              <w:rPr>
                <w:b/>
                <w:lang w:val="sr-Latn-RS"/>
              </w:rPr>
            </w:pPr>
            <w:r w:rsidRPr="001C3B70">
              <w:rPr>
                <w:b/>
                <w:lang w:val="sr-Latn-RS"/>
              </w:rPr>
              <w:t xml:space="preserve">Please confirm values.  </w:t>
            </w:r>
          </w:p>
          <w:p w14:paraId="364DC0A5" w14:textId="77777777" w:rsidR="00FE4CEA" w:rsidRPr="00BE5EF8" w:rsidRDefault="00FE4CEA" w:rsidP="00C6697B">
            <w:pPr>
              <w:jc w:val="both"/>
              <w:rPr>
                <w:lang w:val="sr-Latn-RS"/>
              </w:rPr>
            </w:pPr>
          </w:p>
        </w:tc>
        <w:tc>
          <w:tcPr>
            <w:tcW w:w="4805" w:type="dxa"/>
          </w:tcPr>
          <w:p w14:paraId="3591A4FD" w14:textId="77777777" w:rsidR="0008137C" w:rsidRPr="0023736A" w:rsidRDefault="0008137C" w:rsidP="0008137C">
            <w:pPr>
              <w:pStyle w:val="Style5"/>
              <w:widowControl/>
              <w:spacing w:line="274" w:lineRule="exact"/>
              <w:ind w:left="70" w:right="65"/>
              <w:rPr>
                <w:rStyle w:val="FontStyle11"/>
                <w:sz w:val="24"/>
                <w:szCs w:val="24"/>
              </w:rPr>
            </w:pPr>
            <w:r w:rsidRPr="0023736A">
              <w:rPr>
                <w:rStyle w:val="FontStyle11"/>
                <w:sz w:val="24"/>
                <w:szCs w:val="24"/>
              </w:rPr>
              <w:lastRenderedPageBreak/>
              <w:t xml:space="preserve">7. and 11.The level of the wastewater treatment is defined by the law and the conditions issued by the relevant utility companies (in such case it is Serbia Waters and PUC Belgrade Water and Sewer). The Contractor shall obtain conditions from these companies for the Design preparation. </w:t>
            </w:r>
          </w:p>
          <w:p w14:paraId="2F7340F9" w14:textId="77777777" w:rsidR="0008137C" w:rsidRPr="0023736A" w:rsidRDefault="0008137C" w:rsidP="0008137C">
            <w:pPr>
              <w:pStyle w:val="Style5"/>
              <w:widowControl/>
              <w:spacing w:line="274" w:lineRule="exact"/>
              <w:ind w:left="70" w:right="65"/>
              <w:rPr>
                <w:rStyle w:val="FontStyle11"/>
                <w:sz w:val="24"/>
                <w:szCs w:val="24"/>
              </w:rPr>
            </w:pPr>
            <w:r w:rsidRPr="0023736A">
              <w:rPr>
                <w:rStyle w:val="FontStyle11"/>
                <w:sz w:val="24"/>
                <w:szCs w:val="24"/>
              </w:rPr>
              <w:t>Preliminary design was prepared according to the above stated requirements and the solution for the wastewater treatment, is given as reference only in the tender dossier:  Volume 3/EMPLOYER’S REQUIREMENTS</w:t>
            </w:r>
          </w:p>
          <w:p w14:paraId="739059BC" w14:textId="77777777" w:rsidR="0008137C" w:rsidRPr="0023736A" w:rsidRDefault="0008137C" w:rsidP="0008137C">
            <w:pPr>
              <w:pStyle w:val="Style5"/>
              <w:widowControl/>
              <w:spacing w:line="274" w:lineRule="exact"/>
              <w:ind w:left="70" w:right="65"/>
              <w:rPr>
                <w:rStyle w:val="FontStyle11"/>
                <w:sz w:val="24"/>
                <w:szCs w:val="24"/>
              </w:rPr>
            </w:pPr>
            <w:r w:rsidRPr="0023736A">
              <w:rPr>
                <w:rStyle w:val="FontStyle11"/>
                <w:sz w:val="24"/>
                <w:szCs w:val="24"/>
              </w:rPr>
              <w:t>FOR CONSTRUCTION</w:t>
            </w:r>
          </w:p>
          <w:p w14:paraId="03CF73DE" w14:textId="77777777" w:rsidR="0008137C" w:rsidRPr="0023736A" w:rsidRDefault="0008137C" w:rsidP="0008137C">
            <w:pPr>
              <w:pStyle w:val="Style5"/>
              <w:widowControl/>
              <w:spacing w:line="274" w:lineRule="exact"/>
              <w:ind w:left="70" w:right="65"/>
              <w:rPr>
                <w:rStyle w:val="FontStyle11"/>
                <w:sz w:val="24"/>
                <w:szCs w:val="24"/>
              </w:rPr>
            </w:pPr>
            <w:r w:rsidRPr="0023736A">
              <w:rPr>
                <w:rStyle w:val="FontStyle11"/>
                <w:sz w:val="24"/>
                <w:szCs w:val="24"/>
              </w:rPr>
              <w:t>Series F.2: Drainage Sewer and Storm</w:t>
            </w:r>
          </w:p>
          <w:p w14:paraId="489CB4C9" w14:textId="77777777" w:rsidR="00657834" w:rsidRPr="00141DAC" w:rsidRDefault="00657834" w:rsidP="009852DA">
            <w:pPr>
              <w:pStyle w:val="Style5"/>
              <w:widowControl/>
              <w:spacing w:line="274" w:lineRule="exact"/>
              <w:ind w:left="70" w:right="65"/>
              <w:rPr>
                <w:rStyle w:val="FontStyle11"/>
                <w:sz w:val="24"/>
                <w:szCs w:val="24"/>
              </w:rPr>
            </w:pPr>
          </w:p>
          <w:p w14:paraId="3ED05225" w14:textId="77777777" w:rsidR="00ED0227" w:rsidRPr="00141DAC" w:rsidRDefault="00ED0227" w:rsidP="009852DA">
            <w:pPr>
              <w:pStyle w:val="Style5"/>
              <w:widowControl/>
              <w:spacing w:line="274" w:lineRule="exact"/>
              <w:ind w:left="70" w:right="65"/>
              <w:rPr>
                <w:rStyle w:val="FontStyle11"/>
                <w:sz w:val="24"/>
                <w:szCs w:val="24"/>
              </w:rPr>
            </w:pPr>
            <w:r w:rsidRPr="00141DAC">
              <w:rPr>
                <w:rStyle w:val="FontStyle11"/>
                <w:sz w:val="24"/>
                <w:szCs w:val="24"/>
              </w:rPr>
              <w:t>8. A sewage system with a wastewater treatment plant has been designed. Waste and wastewater management is subject to special permits.</w:t>
            </w:r>
          </w:p>
          <w:p w14:paraId="5A7E1EE6" w14:textId="77777777" w:rsidR="00ED0227" w:rsidRPr="00141DAC" w:rsidRDefault="00ED0227" w:rsidP="009852DA">
            <w:pPr>
              <w:pStyle w:val="Style5"/>
              <w:widowControl/>
              <w:spacing w:line="274" w:lineRule="exact"/>
              <w:ind w:left="70" w:right="65"/>
              <w:rPr>
                <w:rStyle w:val="FontStyle11"/>
                <w:sz w:val="24"/>
                <w:szCs w:val="24"/>
              </w:rPr>
            </w:pPr>
          </w:p>
          <w:p w14:paraId="3374549E" w14:textId="77777777" w:rsidR="00ED0227" w:rsidRPr="00141DAC" w:rsidRDefault="00ED0227" w:rsidP="009852DA">
            <w:pPr>
              <w:pStyle w:val="Style5"/>
              <w:widowControl/>
              <w:spacing w:line="274" w:lineRule="exact"/>
              <w:ind w:left="70" w:right="65"/>
              <w:rPr>
                <w:rStyle w:val="FontStyle11"/>
                <w:sz w:val="24"/>
                <w:szCs w:val="24"/>
              </w:rPr>
            </w:pPr>
            <w:r w:rsidRPr="00141DAC">
              <w:rPr>
                <w:rStyle w:val="FontStyle11"/>
                <w:sz w:val="24"/>
                <w:szCs w:val="24"/>
              </w:rPr>
              <w:t xml:space="preserve">9. The grease separator is not envisaged in the Preliminary design. The kitchen is not planned for cooking (meal preparation). </w:t>
            </w:r>
          </w:p>
          <w:p w14:paraId="10DEFCEE" w14:textId="77777777" w:rsidR="00707765" w:rsidRPr="00141DAC" w:rsidRDefault="00707765" w:rsidP="009852DA">
            <w:pPr>
              <w:pStyle w:val="Style5"/>
              <w:widowControl/>
              <w:spacing w:line="274" w:lineRule="exact"/>
              <w:ind w:left="70" w:right="65"/>
              <w:rPr>
                <w:rStyle w:val="FontStyle11"/>
                <w:sz w:val="24"/>
                <w:szCs w:val="24"/>
              </w:rPr>
            </w:pPr>
          </w:p>
          <w:p w14:paraId="5599ED88" w14:textId="77777777" w:rsidR="00707765" w:rsidRPr="00141DAC" w:rsidRDefault="00707765" w:rsidP="009852DA">
            <w:pPr>
              <w:pStyle w:val="Style5"/>
              <w:widowControl/>
              <w:spacing w:line="274" w:lineRule="exact"/>
              <w:ind w:left="70" w:right="65"/>
              <w:rPr>
                <w:rStyle w:val="FontStyle11"/>
                <w:sz w:val="24"/>
                <w:szCs w:val="24"/>
              </w:rPr>
            </w:pPr>
            <w:r w:rsidRPr="00141DAC">
              <w:rPr>
                <w:rStyle w:val="FontStyle11"/>
                <w:sz w:val="24"/>
                <w:szCs w:val="24"/>
              </w:rPr>
              <w:t xml:space="preserve">10. </w:t>
            </w:r>
            <w:r w:rsidR="00ED0227" w:rsidRPr="00141DAC">
              <w:rPr>
                <w:rStyle w:val="FontStyle11"/>
                <w:sz w:val="24"/>
                <w:szCs w:val="24"/>
              </w:rPr>
              <w:t xml:space="preserve">It is the Contractor’s obligation to design an adequate automatic watering system for </w:t>
            </w:r>
            <w:r w:rsidR="006913AA" w:rsidRPr="00141DAC">
              <w:rPr>
                <w:rStyle w:val="FontStyle11"/>
                <w:sz w:val="24"/>
                <w:szCs w:val="24"/>
              </w:rPr>
              <w:t xml:space="preserve">the proposed </w:t>
            </w:r>
            <w:r w:rsidR="00ED0227" w:rsidRPr="00141DAC">
              <w:rPr>
                <w:rStyle w:val="FontStyle11"/>
                <w:sz w:val="24"/>
                <w:szCs w:val="24"/>
              </w:rPr>
              <w:t xml:space="preserve">plant </w:t>
            </w:r>
            <w:r w:rsidR="006913AA" w:rsidRPr="00141DAC">
              <w:rPr>
                <w:rStyle w:val="FontStyle11"/>
                <w:sz w:val="24"/>
                <w:szCs w:val="24"/>
              </w:rPr>
              <w:t>species</w:t>
            </w:r>
            <w:r w:rsidR="00ED0227" w:rsidRPr="00141DAC">
              <w:rPr>
                <w:rStyle w:val="FontStyle11"/>
                <w:sz w:val="24"/>
                <w:szCs w:val="24"/>
              </w:rPr>
              <w:t>, which will meet the need for plant’s watering.</w:t>
            </w:r>
          </w:p>
          <w:p w14:paraId="0D3A67A8" w14:textId="77777777" w:rsidR="00DB7EF9" w:rsidRPr="00F9670C" w:rsidRDefault="00DB7EF9" w:rsidP="00707765">
            <w:pPr>
              <w:pStyle w:val="Style5"/>
              <w:widowControl/>
              <w:spacing w:line="274" w:lineRule="exact"/>
              <w:ind w:left="5" w:hanging="5"/>
              <w:rPr>
                <w:rStyle w:val="FontStyle11"/>
                <w:sz w:val="24"/>
                <w:szCs w:val="24"/>
              </w:rPr>
            </w:pPr>
          </w:p>
        </w:tc>
      </w:tr>
      <w:tr w:rsidR="00EF1401" w:rsidRPr="00F9670C" w14:paraId="1EFA3F3B" w14:textId="77777777" w:rsidTr="003111DF">
        <w:tc>
          <w:tcPr>
            <w:tcW w:w="585" w:type="dxa"/>
          </w:tcPr>
          <w:p w14:paraId="70115705" w14:textId="77777777" w:rsidR="00EF1401" w:rsidRPr="004A13B5" w:rsidRDefault="004018C3" w:rsidP="004A13B5">
            <w:pPr>
              <w:pStyle w:val="Style5"/>
              <w:widowControl/>
              <w:tabs>
                <w:tab w:val="center" w:pos="252"/>
              </w:tabs>
              <w:spacing w:line="240" w:lineRule="auto"/>
              <w:jc w:val="left"/>
              <w:rPr>
                <w:rStyle w:val="FontStyle11"/>
                <w:b/>
                <w:sz w:val="24"/>
                <w:szCs w:val="24"/>
              </w:rPr>
            </w:pPr>
            <w:r>
              <w:rPr>
                <w:rStyle w:val="FontStyle11"/>
                <w:b/>
                <w:sz w:val="24"/>
                <w:szCs w:val="24"/>
              </w:rPr>
              <w:t>20</w:t>
            </w:r>
            <w:r w:rsidR="004A13B5" w:rsidRPr="004A13B5">
              <w:rPr>
                <w:rStyle w:val="FontStyle11"/>
                <w:b/>
                <w:sz w:val="24"/>
                <w:szCs w:val="24"/>
              </w:rPr>
              <w:t>.</w:t>
            </w:r>
          </w:p>
        </w:tc>
        <w:tc>
          <w:tcPr>
            <w:tcW w:w="4210" w:type="dxa"/>
          </w:tcPr>
          <w:p w14:paraId="64443D58" w14:textId="77777777" w:rsidR="00EF1401" w:rsidRDefault="00EF1401" w:rsidP="00115183">
            <w:pPr>
              <w:ind w:right="120"/>
              <w:jc w:val="both"/>
            </w:pPr>
            <w:r>
              <w:t>Terminal batajnica LV.</w:t>
            </w:r>
          </w:p>
          <w:p w14:paraId="28F253C7" w14:textId="77777777" w:rsidR="00EF1401" w:rsidRDefault="00EF1401" w:rsidP="00115183">
            <w:pPr>
              <w:ind w:right="120"/>
              <w:jc w:val="both"/>
            </w:pPr>
            <w:r>
              <w:t>1. In the main power diagram (G.1.8.f.1) it is indicated that power of DEA is 550kVA, while in the block diagram of power distribution (G.3.8.f.2) it has power of 60Kva. Please harmonize the electrical power of diesel, and also the power of compensation battery that differ on the above drawings (210kvar and 60kvar, respectively).</w:t>
            </w:r>
          </w:p>
          <w:p w14:paraId="7384C7F7" w14:textId="77777777" w:rsidR="00B31275" w:rsidRDefault="00B31275" w:rsidP="00115183">
            <w:pPr>
              <w:ind w:right="120"/>
              <w:jc w:val="both"/>
            </w:pPr>
            <w:r>
              <w:t>2. There are no lamps and columns on the access road, should it be foreseen?</w:t>
            </w:r>
          </w:p>
          <w:p w14:paraId="47F8444B" w14:textId="77777777" w:rsidR="00B31275" w:rsidRDefault="00B31275" w:rsidP="00115183">
            <w:pPr>
              <w:ind w:right="120"/>
              <w:jc w:val="both"/>
            </w:pPr>
            <w:r>
              <w:t xml:space="preserve">3. Whose responsibility is the construction of the medium-voltage cable for the substation within the facility (TS 10 / 0,4kVA 1X1000kVA)? </w:t>
            </w:r>
          </w:p>
          <w:p w14:paraId="1A60CAF0" w14:textId="77777777" w:rsidR="00B31275" w:rsidRDefault="00B31275" w:rsidP="00115183">
            <w:pPr>
              <w:ind w:right="120"/>
              <w:jc w:val="both"/>
            </w:pPr>
            <w:r>
              <w:t>Please clarify.</w:t>
            </w:r>
          </w:p>
        </w:tc>
        <w:tc>
          <w:tcPr>
            <w:tcW w:w="4805" w:type="dxa"/>
          </w:tcPr>
          <w:p w14:paraId="18A06B5E" w14:textId="77777777" w:rsidR="0008137C" w:rsidRPr="00C42D42" w:rsidRDefault="0008137C" w:rsidP="00B141AF">
            <w:pPr>
              <w:pStyle w:val="Style5"/>
              <w:widowControl/>
              <w:numPr>
                <w:ilvl w:val="0"/>
                <w:numId w:val="5"/>
              </w:numPr>
              <w:spacing w:line="274" w:lineRule="exact"/>
              <w:ind w:left="70" w:right="65" w:firstLine="0"/>
              <w:rPr>
                <w:rStyle w:val="FontStyle11"/>
                <w:sz w:val="24"/>
                <w:szCs w:val="24"/>
              </w:rPr>
            </w:pPr>
            <w:r w:rsidRPr="00C42D42">
              <w:rPr>
                <w:rStyle w:val="FontStyle11"/>
                <w:sz w:val="24"/>
                <w:szCs w:val="24"/>
              </w:rPr>
              <w:t>Drawing G.3.8.f.2 shows DEA of 605kVA power (not 60kVA), and drawing G.1.8.f.1 shows DEA of 550kVA power. These drawings are presented in two different design books of the Preliminary design. Book relevant for DEA design, shows DEA power of 550kVA.</w:t>
            </w:r>
          </w:p>
          <w:p w14:paraId="5D43C29F" w14:textId="77777777" w:rsidR="0008137C" w:rsidRPr="00C42D42" w:rsidRDefault="0008137C" w:rsidP="00C42D42">
            <w:pPr>
              <w:pStyle w:val="Style5"/>
              <w:widowControl/>
              <w:spacing w:line="274" w:lineRule="exact"/>
              <w:ind w:left="715" w:right="65"/>
              <w:rPr>
                <w:rStyle w:val="FontStyle11"/>
                <w:sz w:val="24"/>
                <w:szCs w:val="24"/>
              </w:rPr>
            </w:pPr>
            <w:r w:rsidRPr="00C42D42">
              <w:rPr>
                <w:rStyle w:val="FontStyle11"/>
                <w:sz w:val="24"/>
                <w:szCs w:val="24"/>
              </w:rPr>
              <w:t xml:space="preserve"> </w:t>
            </w:r>
          </w:p>
          <w:p w14:paraId="0B8E46ED" w14:textId="77777777" w:rsidR="00D5120E" w:rsidRPr="00C42D42" w:rsidRDefault="0008137C" w:rsidP="00C42D42">
            <w:pPr>
              <w:pStyle w:val="Style5"/>
              <w:widowControl/>
              <w:spacing w:line="274" w:lineRule="exact"/>
              <w:ind w:left="70" w:right="65"/>
              <w:rPr>
                <w:rStyle w:val="FontStyle11"/>
                <w:sz w:val="24"/>
                <w:szCs w:val="24"/>
              </w:rPr>
            </w:pPr>
            <w:r w:rsidRPr="00C42D42">
              <w:rPr>
                <w:rStyle w:val="FontStyle11"/>
                <w:sz w:val="24"/>
                <w:szCs w:val="24"/>
              </w:rPr>
              <w:t xml:space="preserve">As regard to the compensation batteries, on both </w:t>
            </w:r>
            <w:r w:rsidR="00D5120E" w:rsidRPr="00C42D42">
              <w:rPr>
                <w:rStyle w:val="FontStyle11"/>
                <w:sz w:val="24"/>
                <w:szCs w:val="24"/>
              </w:rPr>
              <w:t xml:space="preserve">stated </w:t>
            </w:r>
            <w:r w:rsidRPr="00C42D42">
              <w:rPr>
                <w:rStyle w:val="FontStyle11"/>
                <w:sz w:val="24"/>
                <w:szCs w:val="24"/>
              </w:rPr>
              <w:t xml:space="preserve">drawings is shown 210kvar compensation battery for the GRO-A. The compensation battery of 60kvar is shown only on Drawing G.3.8.f.2 but not for the same GRO. </w:t>
            </w:r>
          </w:p>
          <w:p w14:paraId="6C439A8E" w14:textId="77777777" w:rsidR="0008137C" w:rsidRPr="0008137C" w:rsidRDefault="0008137C" w:rsidP="00C42D42">
            <w:pPr>
              <w:pStyle w:val="Style5"/>
              <w:widowControl/>
              <w:spacing w:line="274" w:lineRule="exact"/>
              <w:ind w:left="70" w:right="65"/>
              <w:rPr>
                <w:rStyle w:val="FontStyle11"/>
                <w:color w:val="FF0000"/>
                <w:sz w:val="24"/>
                <w:szCs w:val="24"/>
              </w:rPr>
            </w:pPr>
            <w:r w:rsidRPr="00C42D42">
              <w:rPr>
                <w:rStyle w:val="FontStyle11"/>
                <w:sz w:val="24"/>
                <w:szCs w:val="24"/>
              </w:rPr>
              <w:t xml:space="preserve">   </w:t>
            </w:r>
          </w:p>
          <w:p w14:paraId="788D3D15" w14:textId="725C56D4" w:rsidR="009F517B" w:rsidRDefault="00B141AF" w:rsidP="00B141AF">
            <w:pPr>
              <w:pStyle w:val="Style5"/>
              <w:widowControl/>
              <w:numPr>
                <w:ilvl w:val="0"/>
                <w:numId w:val="5"/>
              </w:numPr>
              <w:spacing w:line="274" w:lineRule="exact"/>
              <w:ind w:left="250" w:right="65" w:hanging="180"/>
              <w:rPr>
                <w:rStyle w:val="FontStyle11"/>
                <w:sz w:val="24"/>
                <w:szCs w:val="24"/>
              </w:rPr>
            </w:pPr>
            <w:r>
              <w:rPr>
                <w:rStyle w:val="FontStyle11"/>
                <w:sz w:val="24"/>
                <w:szCs w:val="24"/>
              </w:rPr>
              <w:t xml:space="preserve">  </w:t>
            </w:r>
            <w:r w:rsidR="009F517B">
              <w:rPr>
                <w:rStyle w:val="FontStyle11"/>
                <w:sz w:val="24"/>
                <w:szCs w:val="24"/>
              </w:rPr>
              <w:t>Lamps shall be provided as well as the columns on the access road.</w:t>
            </w:r>
          </w:p>
          <w:p w14:paraId="5D6D4670" w14:textId="5B7BE758" w:rsidR="009F517B" w:rsidRDefault="00B141AF" w:rsidP="00B141AF">
            <w:pPr>
              <w:pStyle w:val="Style5"/>
              <w:widowControl/>
              <w:numPr>
                <w:ilvl w:val="0"/>
                <w:numId w:val="5"/>
              </w:numPr>
              <w:spacing w:line="274" w:lineRule="exact"/>
              <w:ind w:left="250" w:right="65" w:hanging="180"/>
              <w:rPr>
                <w:rStyle w:val="FontStyle11"/>
                <w:sz w:val="24"/>
                <w:szCs w:val="24"/>
              </w:rPr>
            </w:pPr>
            <w:r>
              <w:rPr>
                <w:rStyle w:val="FontStyle11"/>
                <w:sz w:val="24"/>
                <w:szCs w:val="24"/>
              </w:rPr>
              <w:t xml:space="preserve">  </w:t>
            </w:r>
            <w:r w:rsidR="009F517B">
              <w:rPr>
                <w:rStyle w:val="FontStyle11"/>
                <w:sz w:val="24"/>
                <w:szCs w:val="24"/>
              </w:rPr>
              <w:t xml:space="preserve">It is the Employers obligation to provide </w:t>
            </w:r>
            <w:r w:rsidR="009F517B" w:rsidRPr="009F517B">
              <w:rPr>
                <w:rStyle w:val="FontStyle11"/>
                <w:sz w:val="24"/>
                <w:szCs w:val="24"/>
              </w:rPr>
              <w:t>medium-voltage cable for the substation within the facility (TS 10 / 0,4kVA 1X1000kVA)</w:t>
            </w:r>
            <w:r w:rsidR="004018C3">
              <w:rPr>
                <w:rStyle w:val="FontStyle11"/>
                <w:sz w:val="24"/>
                <w:szCs w:val="24"/>
              </w:rPr>
              <w:t>.</w:t>
            </w:r>
            <w:r w:rsidR="009F517B" w:rsidRPr="009F517B">
              <w:rPr>
                <w:rStyle w:val="FontStyle11"/>
                <w:sz w:val="24"/>
                <w:szCs w:val="24"/>
              </w:rPr>
              <w:t xml:space="preserve"> </w:t>
            </w:r>
            <w:r w:rsidR="009F517B">
              <w:rPr>
                <w:rStyle w:val="FontStyle11"/>
                <w:sz w:val="24"/>
                <w:szCs w:val="24"/>
              </w:rPr>
              <w:t xml:space="preserve"> </w:t>
            </w:r>
          </w:p>
          <w:p w14:paraId="4434219C" w14:textId="77777777" w:rsidR="00EF1401" w:rsidRDefault="00E34D03" w:rsidP="004018C3">
            <w:pPr>
              <w:pStyle w:val="Style5"/>
              <w:widowControl/>
              <w:spacing w:line="274" w:lineRule="exact"/>
              <w:ind w:left="70" w:right="65"/>
              <w:rPr>
                <w:rStyle w:val="FontStyle11"/>
                <w:sz w:val="24"/>
                <w:szCs w:val="24"/>
              </w:rPr>
            </w:pPr>
            <w:r>
              <w:rPr>
                <w:rStyle w:val="FontStyle11"/>
                <w:sz w:val="24"/>
                <w:szCs w:val="24"/>
              </w:rPr>
              <w:t xml:space="preserve"> </w:t>
            </w:r>
          </w:p>
        </w:tc>
      </w:tr>
      <w:tr w:rsidR="00B159DD" w:rsidRPr="00F9670C" w14:paraId="6CAC44DB" w14:textId="77777777" w:rsidTr="003111DF">
        <w:tc>
          <w:tcPr>
            <w:tcW w:w="585" w:type="dxa"/>
          </w:tcPr>
          <w:p w14:paraId="015880F2" w14:textId="77777777" w:rsidR="00B159DD" w:rsidRPr="00274988" w:rsidRDefault="00116C14" w:rsidP="00274988">
            <w:pPr>
              <w:pStyle w:val="Style5"/>
              <w:widowControl/>
              <w:tabs>
                <w:tab w:val="center" w:pos="252"/>
              </w:tabs>
              <w:spacing w:line="240" w:lineRule="auto"/>
              <w:jc w:val="left"/>
              <w:rPr>
                <w:rStyle w:val="FontStyle11"/>
                <w:b/>
                <w:sz w:val="24"/>
                <w:szCs w:val="24"/>
              </w:rPr>
            </w:pPr>
            <w:r>
              <w:rPr>
                <w:rStyle w:val="FontStyle11"/>
                <w:b/>
                <w:sz w:val="24"/>
                <w:szCs w:val="24"/>
              </w:rPr>
              <w:t>21</w:t>
            </w:r>
            <w:r w:rsidR="003B6088" w:rsidRPr="00274988">
              <w:rPr>
                <w:rStyle w:val="FontStyle11"/>
                <w:b/>
                <w:sz w:val="24"/>
                <w:szCs w:val="24"/>
              </w:rPr>
              <w:t>.</w:t>
            </w:r>
          </w:p>
        </w:tc>
        <w:tc>
          <w:tcPr>
            <w:tcW w:w="4210" w:type="dxa"/>
          </w:tcPr>
          <w:p w14:paraId="251BEE0C" w14:textId="77777777" w:rsidR="00C447DB" w:rsidRPr="00CC4FCD" w:rsidRDefault="00C447DB" w:rsidP="00115183">
            <w:pPr>
              <w:ind w:right="120"/>
              <w:jc w:val="both"/>
            </w:pPr>
            <w:r>
              <w:t>Regarding preparation of economically best offer for the Construction of Intermodal Terminal in Batajnica (Belgrade) Republic of Serbia, we are kindly asking you to extend submission of tenders.</w:t>
            </w:r>
          </w:p>
        </w:tc>
        <w:tc>
          <w:tcPr>
            <w:tcW w:w="4805" w:type="dxa"/>
          </w:tcPr>
          <w:p w14:paraId="3B88081E" w14:textId="77777777" w:rsidR="00B159DD" w:rsidRPr="00F9670C" w:rsidRDefault="0041333C" w:rsidP="0041333C">
            <w:pPr>
              <w:pStyle w:val="Style5"/>
              <w:widowControl/>
              <w:spacing w:line="274" w:lineRule="exact"/>
              <w:ind w:left="5" w:hanging="5"/>
              <w:rPr>
                <w:rStyle w:val="FontStyle11"/>
                <w:sz w:val="24"/>
                <w:szCs w:val="24"/>
              </w:rPr>
            </w:pPr>
            <w:r>
              <w:rPr>
                <w:rStyle w:val="FontStyle11"/>
                <w:sz w:val="24"/>
                <w:szCs w:val="24"/>
              </w:rPr>
              <w:t xml:space="preserve">Deadline for submitting tenders is stipulated in point 19. of Contract Notice and in point 1.2. of </w:t>
            </w:r>
            <w:r w:rsidR="00741013">
              <w:rPr>
                <w:rStyle w:val="FontStyle11"/>
                <w:sz w:val="24"/>
                <w:szCs w:val="24"/>
              </w:rPr>
              <w:t>ITT</w:t>
            </w:r>
            <w:r>
              <w:rPr>
                <w:rStyle w:val="FontStyle11"/>
                <w:sz w:val="24"/>
                <w:szCs w:val="24"/>
              </w:rPr>
              <w:t xml:space="preserve">. Contracting Authority will not extend the deadline for submission of tenders at this point. </w:t>
            </w:r>
            <w:r w:rsidR="00741013">
              <w:rPr>
                <w:rStyle w:val="FontStyle11"/>
                <w:sz w:val="24"/>
                <w:szCs w:val="24"/>
              </w:rPr>
              <w:t xml:space="preserve"> </w:t>
            </w:r>
          </w:p>
        </w:tc>
      </w:tr>
      <w:tr w:rsidR="00FB63DD" w:rsidRPr="00F9670C" w14:paraId="3C0A629A" w14:textId="77777777" w:rsidTr="003111DF">
        <w:tc>
          <w:tcPr>
            <w:tcW w:w="585" w:type="dxa"/>
          </w:tcPr>
          <w:p w14:paraId="27DA7D39" w14:textId="77777777" w:rsidR="00FB63DD" w:rsidRPr="00274988" w:rsidRDefault="00F80FFF" w:rsidP="00274988">
            <w:pPr>
              <w:pStyle w:val="Style5"/>
              <w:widowControl/>
              <w:tabs>
                <w:tab w:val="center" w:pos="252"/>
              </w:tabs>
              <w:spacing w:line="240" w:lineRule="auto"/>
              <w:jc w:val="left"/>
              <w:rPr>
                <w:rStyle w:val="FontStyle11"/>
                <w:b/>
                <w:sz w:val="24"/>
                <w:szCs w:val="24"/>
              </w:rPr>
            </w:pPr>
            <w:r>
              <w:rPr>
                <w:rStyle w:val="FontStyle11"/>
                <w:b/>
                <w:sz w:val="24"/>
                <w:szCs w:val="24"/>
              </w:rPr>
              <w:t>22</w:t>
            </w:r>
            <w:r w:rsidR="003B6088" w:rsidRPr="00274988">
              <w:rPr>
                <w:rStyle w:val="FontStyle11"/>
                <w:b/>
                <w:sz w:val="24"/>
                <w:szCs w:val="24"/>
              </w:rPr>
              <w:t>.</w:t>
            </w:r>
          </w:p>
        </w:tc>
        <w:tc>
          <w:tcPr>
            <w:tcW w:w="4210" w:type="dxa"/>
          </w:tcPr>
          <w:p w14:paraId="0402AA55" w14:textId="77777777" w:rsidR="007C65CB" w:rsidRPr="007C65CB" w:rsidRDefault="007C65CB" w:rsidP="007C65CB">
            <w:pPr>
              <w:pStyle w:val="BodyText"/>
              <w:spacing w:line="249" w:lineRule="auto"/>
              <w:jc w:val="both"/>
              <w:rPr>
                <w:rFonts w:ascii="Times New Roman" w:hAnsi="Times New Roman" w:cs="Times New Roman"/>
                <w:sz w:val="24"/>
                <w:szCs w:val="24"/>
              </w:rPr>
            </w:pPr>
            <w:r w:rsidRPr="007C65CB">
              <w:rPr>
                <w:rFonts w:ascii="Times New Roman" w:hAnsi="Times New Roman" w:cs="Times New Roman"/>
                <w:sz w:val="24"/>
                <w:szCs w:val="24"/>
              </w:rPr>
              <w:t xml:space="preserve">In </w:t>
            </w:r>
            <w:r w:rsidRPr="007C65CB">
              <w:rPr>
                <w:rFonts w:ascii="Times New Roman" w:hAnsi="Times New Roman" w:cs="Times New Roman"/>
                <w:color w:val="0F0F0F"/>
                <w:sz w:val="24"/>
                <w:szCs w:val="24"/>
              </w:rPr>
              <w:t xml:space="preserve">ITT </w:t>
            </w:r>
            <w:r w:rsidRPr="007C65CB">
              <w:rPr>
                <w:rFonts w:ascii="Times New Roman" w:hAnsi="Times New Roman" w:cs="Times New Roman"/>
                <w:sz w:val="24"/>
                <w:szCs w:val="24"/>
              </w:rPr>
              <w:t xml:space="preserve">it </w:t>
            </w:r>
            <w:r w:rsidRPr="007C65CB">
              <w:rPr>
                <w:rFonts w:ascii="Times New Roman" w:hAnsi="Times New Roman" w:cs="Times New Roman"/>
                <w:color w:val="0E0E0E"/>
                <w:sz w:val="24"/>
                <w:szCs w:val="24"/>
              </w:rPr>
              <w:t xml:space="preserve">1s </w:t>
            </w:r>
            <w:r w:rsidRPr="007C65CB">
              <w:rPr>
                <w:rFonts w:ascii="Times New Roman" w:hAnsi="Times New Roman" w:cs="Times New Roman"/>
                <w:sz w:val="24"/>
                <w:szCs w:val="24"/>
              </w:rPr>
              <w:t xml:space="preserve">requested that </w:t>
            </w:r>
            <w:r w:rsidR="00CC0ADE">
              <w:rPr>
                <w:rFonts w:ascii="Times New Roman" w:hAnsi="Times New Roman" w:cs="Times New Roman"/>
                <w:sz w:val="24"/>
                <w:szCs w:val="24"/>
              </w:rPr>
              <w:t>i</w:t>
            </w:r>
            <w:r w:rsidRPr="007C65CB">
              <w:rPr>
                <w:rFonts w:ascii="Times New Roman" w:hAnsi="Times New Roman" w:cs="Times New Roman"/>
                <w:sz w:val="24"/>
                <w:szCs w:val="24"/>
              </w:rPr>
              <w:t xml:space="preserve">n order to </w:t>
            </w:r>
            <w:r w:rsidRPr="007C65CB">
              <w:rPr>
                <w:rFonts w:ascii="Times New Roman" w:hAnsi="Times New Roman" w:cs="Times New Roman"/>
                <w:color w:val="0E0E0E"/>
                <w:sz w:val="24"/>
                <w:szCs w:val="24"/>
              </w:rPr>
              <w:t xml:space="preserve">be </w:t>
            </w:r>
            <w:r w:rsidRPr="007C65CB">
              <w:rPr>
                <w:rFonts w:ascii="Times New Roman" w:hAnsi="Times New Roman" w:cs="Times New Roman"/>
                <w:sz w:val="24"/>
                <w:szCs w:val="24"/>
              </w:rPr>
              <w:t>eligible for the award of the contract, tenderers must provide evidence that they meet the selection</w:t>
            </w:r>
            <w:r w:rsidRPr="007C65CB">
              <w:rPr>
                <w:rFonts w:ascii="Times New Roman" w:hAnsi="Times New Roman" w:cs="Times New Roman"/>
                <w:spacing w:val="64"/>
                <w:sz w:val="24"/>
                <w:szCs w:val="24"/>
              </w:rPr>
              <w:t xml:space="preserve"> </w:t>
            </w:r>
            <w:r w:rsidRPr="007C65CB">
              <w:rPr>
                <w:rFonts w:ascii="Times New Roman" w:hAnsi="Times New Roman" w:cs="Times New Roman"/>
                <w:sz w:val="24"/>
                <w:szCs w:val="24"/>
              </w:rPr>
              <w:t>criteria:</w:t>
            </w:r>
          </w:p>
          <w:p w14:paraId="754D4250" w14:textId="77777777" w:rsidR="007C65CB" w:rsidRPr="007C65CB" w:rsidRDefault="007C65CB" w:rsidP="007C65CB">
            <w:pPr>
              <w:spacing w:line="249" w:lineRule="auto"/>
              <w:ind w:right="281"/>
              <w:jc w:val="both"/>
            </w:pPr>
            <w:r w:rsidRPr="007C65CB">
              <w:rPr>
                <w:i/>
                <w:color w:val="0E0E0E"/>
              </w:rPr>
              <w:t xml:space="preserve">c) </w:t>
            </w:r>
            <w:r w:rsidRPr="007C65CB">
              <w:rPr>
                <w:i/>
              </w:rPr>
              <w:t>Technical capacity of c</w:t>
            </w:r>
            <w:r w:rsidR="00CC0ADE">
              <w:rPr>
                <w:i/>
              </w:rPr>
              <w:t>andidate,</w:t>
            </w:r>
            <w:r w:rsidRPr="007C65CB">
              <w:rPr>
                <w:i/>
              </w:rPr>
              <w:t xml:space="preserve"> </w:t>
            </w:r>
            <w:r w:rsidRPr="007C65CB">
              <w:rPr>
                <w:i/>
                <w:color w:val="0E0E0E"/>
              </w:rPr>
              <w:t xml:space="preserve">it </w:t>
            </w:r>
            <w:r w:rsidRPr="007C65CB">
              <w:rPr>
                <w:i/>
              </w:rPr>
              <w:t>is requested that the Tende</w:t>
            </w:r>
            <w:r w:rsidR="00CC0ADE">
              <w:rPr>
                <w:i/>
              </w:rPr>
              <w:t>r</w:t>
            </w:r>
            <w:r w:rsidRPr="007C65CB">
              <w:rPr>
                <w:i/>
              </w:rPr>
              <w:t xml:space="preserve">er </w:t>
            </w:r>
            <w:r w:rsidRPr="007C65CB">
              <w:t xml:space="preserve">has completed at least one (1) work contract for the </w:t>
            </w:r>
            <w:r w:rsidRPr="007C65CB">
              <w:rPr>
                <w:u w:val="single" w:color="2F2F2F"/>
              </w:rPr>
              <w:t>civil'  building  con</w:t>
            </w:r>
            <w:r w:rsidR="00CC0ADE">
              <w:rPr>
                <w:u w:val="single" w:color="2F2F2F"/>
              </w:rPr>
              <w:t>s</w:t>
            </w:r>
            <w:r w:rsidRPr="007C65CB">
              <w:rPr>
                <w:u w:val="single" w:color="2F2F2F"/>
              </w:rPr>
              <w:t>tr</w:t>
            </w:r>
            <w:r w:rsidR="00CC0ADE">
              <w:rPr>
                <w:u w:val="single" w:color="2F2F2F"/>
              </w:rPr>
              <w:t>u</w:t>
            </w:r>
            <w:r w:rsidRPr="007C65CB">
              <w:rPr>
                <w:u w:val="single" w:color="2F2F2F"/>
              </w:rPr>
              <w:t>ction</w:t>
            </w:r>
            <w:r w:rsidRPr="007C65CB">
              <w:t xml:space="preserve"> </w:t>
            </w:r>
            <w:r w:rsidRPr="007C65CB">
              <w:lastRenderedPageBreak/>
              <w:t>with min</w:t>
            </w:r>
            <w:r w:rsidR="00CC0ADE">
              <w:t>i</w:t>
            </w:r>
            <w:r w:rsidRPr="007C65CB">
              <w:t xml:space="preserve">mum total value of a single contract </w:t>
            </w:r>
            <w:r w:rsidRPr="007C65CB">
              <w:rPr>
                <w:color w:val="131313"/>
              </w:rPr>
              <w:t xml:space="preserve">of </w:t>
            </w:r>
            <w:r w:rsidRPr="007C65CB">
              <w:t>EUR</w:t>
            </w:r>
            <w:r w:rsidRPr="007C65CB">
              <w:rPr>
                <w:spacing w:val="13"/>
              </w:rPr>
              <w:t xml:space="preserve"> </w:t>
            </w:r>
            <w:r w:rsidRPr="007C65CB">
              <w:t>500.000.</w:t>
            </w:r>
          </w:p>
          <w:p w14:paraId="2FF5E32F" w14:textId="77777777" w:rsidR="007C65CB" w:rsidRPr="007C65CB" w:rsidRDefault="007C65CB" w:rsidP="00CC0ADE">
            <w:pPr>
              <w:pStyle w:val="BodyText"/>
              <w:spacing w:line="307" w:lineRule="exact"/>
              <w:ind w:left="7"/>
              <w:jc w:val="both"/>
              <w:rPr>
                <w:rFonts w:ascii="Times New Roman" w:hAnsi="Times New Roman" w:cs="Times New Roman"/>
                <w:sz w:val="24"/>
                <w:szCs w:val="24"/>
              </w:rPr>
            </w:pPr>
            <w:r w:rsidRPr="007C65CB">
              <w:rPr>
                <w:rFonts w:ascii="Times New Roman" w:hAnsi="Times New Roman" w:cs="Times New Roman"/>
                <w:w w:val="105"/>
                <w:sz w:val="24"/>
                <w:szCs w:val="24"/>
              </w:rPr>
              <w:t>Please clarify the meaning of "c</w:t>
            </w:r>
            <w:r w:rsidRPr="007C65CB">
              <w:rPr>
                <w:rFonts w:ascii="Times New Roman" w:hAnsi="Times New Roman" w:cs="Times New Roman"/>
                <w:w w:val="105"/>
                <w:sz w:val="24"/>
                <w:szCs w:val="24"/>
                <w:u w:val="single" w:color="2F2F2F"/>
              </w:rPr>
              <w:t xml:space="preserve">ivil’ </w:t>
            </w:r>
            <w:r w:rsidRPr="007C65CB">
              <w:rPr>
                <w:rFonts w:ascii="Times New Roman" w:hAnsi="Times New Roman" w:cs="Times New Roman"/>
                <w:color w:val="0E0E0E"/>
                <w:w w:val="105"/>
                <w:sz w:val="24"/>
                <w:szCs w:val="24"/>
                <w:u w:val="single" w:color="2F2F2F"/>
              </w:rPr>
              <w:t xml:space="preserve">building </w:t>
            </w:r>
            <w:r w:rsidRPr="007C65CB">
              <w:rPr>
                <w:rFonts w:ascii="Times New Roman" w:hAnsi="Times New Roman" w:cs="Times New Roman"/>
                <w:w w:val="105"/>
                <w:sz w:val="24"/>
                <w:szCs w:val="24"/>
                <w:u w:val="single" w:color="2F2F2F"/>
              </w:rPr>
              <w:t>construction”.</w:t>
            </w:r>
          </w:p>
          <w:p w14:paraId="0719601D" w14:textId="77777777" w:rsidR="0087470C" w:rsidRDefault="007C65CB" w:rsidP="00CC0ADE">
            <w:pPr>
              <w:pStyle w:val="BodyText"/>
              <w:spacing w:before="9" w:line="249" w:lineRule="auto"/>
              <w:ind w:right="281"/>
              <w:jc w:val="both"/>
            </w:pPr>
            <w:r w:rsidRPr="007C65CB">
              <w:rPr>
                <w:rFonts w:ascii="Times New Roman" w:hAnsi="Times New Roman" w:cs="Times New Roman"/>
                <w:sz w:val="24"/>
                <w:szCs w:val="24"/>
              </w:rPr>
              <w:t xml:space="preserve">In addition, please clarify, would the tenderer meet the referring selection criteria </w:t>
            </w:r>
            <w:r w:rsidRPr="007C65CB">
              <w:rPr>
                <w:rFonts w:ascii="Times New Roman" w:hAnsi="Times New Roman" w:cs="Times New Roman"/>
                <w:color w:val="0E0E0E"/>
                <w:sz w:val="24"/>
                <w:szCs w:val="24"/>
              </w:rPr>
              <w:t xml:space="preserve">if </w:t>
            </w:r>
            <w:r w:rsidRPr="007C65CB">
              <w:rPr>
                <w:rFonts w:ascii="Times New Roman" w:hAnsi="Times New Roman" w:cs="Times New Roman"/>
                <w:sz w:val="24"/>
                <w:szCs w:val="24"/>
              </w:rPr>
              <w:t xml:space="preserve">has completed the work contract </w:t>
            </w:r>
            <w:r w:rsidRPr="007C65CB">
              <w:rPr>
                <w:rFonts w:ascii="Times New Roman" w:hAnsi="Times New Roman" w:cs="Times New Roman"/>
                <w:sz w:val="24"/>
                <w:szCs w:val="24"/>
                <w:u w:val="single" w:color="2B2B2B"/>
              </w:rPr>
              <w:t xml:space="preserve">for construction </w:t>
            </w:r>
            <w:r w:rsidRPr="007C65CB">
              <w:rPr>
                <w:rFonts w:ascii="Times New Roman" w:hAnsi="Times New Roman" w:cs="Times New Roman"/>
                <w:color w:val="0F0F0F"/>
                <w:sz w:val="24"/>
                <w:szCs w:val="24"/>
                <w:u w:val="single" w:color="2B2B2B"/>
              </w:rPr>
              <w:t xml:space="preserve">of </w:t>
            </w:r>
            <w:r w:rsidRPr="007C65CB">
              <w:rPr>
                <w:rFonts w:ascii="Times New Roman" w:hAnsi="Times New Roman" w:cs="Times New Roman"/>
                <w:sz w:val="24"/>
                <w:szCs w:val="24"/>
                <w:u w:val="single" w:color="2B2B2B"/>
              </w:rPr>
              <w:t>warehouse</w:t>
            </w:r>
            <w:r w:rsidRPr="007C65CB">
              <w:rPr>
                <w:rFonts w:ascii="Times New Roman" w:hAnsi="Times New Roman" w:cs="Times New Roman"/>
                <w:sz w:val="24"/>
                <w:szCs w:val="24"/>
              </w:rPr>
              <w:t xml:space="preserve"> </w:t>
            </w:r>
            <w:r w:rsidRPr="007C65CB">
              <w:rPr>
                <w:rFonts w:ascii="Times New Roman" w:hAnsi="Times New Roman" w:cs="Times New Roman"/>
                <w:sz w:val="24"/>
                <w:szCs w:val="24"/>
                <w:u w:val="single" w:color="2F2F2F"/>
              </w:rPr>
              <w:t>building.</w:t>
            </w:r>
          </w:p>
        </w:tc>
        <w:tc>
          <w:tcPr>
            <w:tcW w:w="4805" w:type="dxa"/>
          </w:tcPr>
          <w:p w14:paraId="7388EA6F" w14:textId="77777777" w:rsidR="00D96166" w:rsidRDefault="00D96166" w:rsidP="00C767F7">
            <w:pPr>
              <w:pStyle w:val="Style5"/>
              <w:widowControl/>
              <w:spacing w:line="274" w:lineRule="exact"/>
              <w:ind w:left="5" w:hanging="5"/>
              <w:rPr>
                <w:rStyle w:val="FontStyle11"/>
                <w:sz w:val="24"/>
                <w:szCs w:val="24"/>
                <w:lang w:val="sr-Latn-RS"/>
              </w:rPr>
            </w:pPr>
            <w:r>
              <w:rPr>
                <w:rStyle w:val="FontStyle11"/>
                <w:sz w:val="24"/>
                <w:szCs w:val="24"/>
                <w:lang w:val="sr-Latn-RS"/>
              </w:rPr>
              <w:lastRenderedPageBreak/>
              <w:t xml:space="preserve">Civil buildings </w:t>
            </w:r>
            <w:r w:rsidR="00C767F7">
              <w:rPr>
                <w:rStyle w:val="FontStyle11"/>
                <w:sz w:val="24"/>
                <w:szCs w:val="24"/>
                <w:lang w:val="sr-Latn-RS"/>
              </w:rPr>
              <w:t>such as: office</w:t>
            </w:r>
            <w:r>
              <w:rPr>
                <w:rStyle w:val="FontStyle11"/>
                <w:sz w:val="24"/>
                <w:szCs w:val="24"/>
                <w:lang w:val="sr-Latn-RS"/>
              </w:rPr>
              <w:t xml:space="preserve">, commercial, </w:t>
            </w:r>
            <w:r w:rsidR="00C767F7">
              <w:rPr>
                <w:rStyle w:val="FontStyle11"/>
                <w:sz w:val="24"/>
                <w:szCs w:val="24"/>
                <w:lang w:val="sr-Latn-RS"/>
              </w:rPr>
              <w:t xml:space="preserve">industrial buildings, </w:t>
            </w:r>
            <w:r>
              <w:rPr>
                <w:rStyle w:val="FontStyle11"/>
                <w:sz w:val="24"/>
                <w:szCs w:val="24"/>
                <w:lang w:val="sr-Latn-RS"/>
              </w:rPr>
              <w:t>high rises</w:t>
            </w:r>
            <w:r w:rsidR="00C767F7">
              <w:rPr>
                <w:rStyle w:val="FontStyle11"/>
                <w:sz w:val="24"/>
                <w:szCs w:val="24"/>
                <w:lang w:val="sr-Latn-RS"/>
              </w:rPr>
              <w:t xml:space="preserve"> (</w:t>
            </w:r>
            <w:r>
              <w:rPr>
                <w:rStyle w:val="FontStyle11"/>
                <w:sz w:val="24"/>
                <w:szCs w:val="24"/>
                <w:lang w:val="sr-Latn-RS"/>
              </w:rPr>
              <w:t>multy family buildings,</w:t>
            </w:r>
            <w:r w:rsidR="00C767F7">
              <w:rPr>
                <w:rStyle w:val="FontStyle11"/>
                <w:sz w:val="24"/>
                <w:szCs w:val="24"/>
                <w:lang w:val="sr-Latn-RS"/>
              </w:rPr>
              <w:t xml:space="preserve"> hotels..)</w:t>
            </w:r>
            <w:r>
              <w:rPr>
                <w:rStyle w:val="FontStyle11"/>
                <w:sz w:val="24"/>
                <w:szCs w:val="24"/>
                <w:lang w:val="sr-Latn-RS"/>
              </w:rPr>
              <w:t xml:space="preserve">, etc. </w:t>
            </w:r>
          </w:p>
          <w:p w14:paraId="6696A37A" w14:textId="77777777" w:rsidR="00B84E1B" w:rsidRPr="00561C74" w:rsidRDefault="00B84E1B" w:rsidP="00C767F7">
            <w:pPr>
              <w:pStyle w:val="Style5"/>
              <w:widowControl/>
              <w:spacing w:line="274" w:lineRule="exact"/>
              <w:ind w:left="5" w:hanging="5"/>
              <w:rPr>
                <w:rStyle w:val="FontStyle11"/>
                <w:sz w:val="24"/>
                <w:szCs w:val="24"/>
                <w:lang w:val="sr-Latn-RS"/>
              </w:rPr>
            </w:pPr>
            <w:r>
              <w:rPr>
                <w:rStyle w:val="FontStyle11"/>
                <w:sz w:val="24"/>
                <w:szCs w:val="24"/>
                <w:lang w:val="sr-Latn-RS"/>
              </w:rPr>
              <w:t xml:space="preserve">The warehouse is a civil building. </w:t>
            </w:r>
          </w:p>
        </w:tc>
      </w:tr>
      <w:tr w:rsidR="003B6088" w:rsidRPr="00F9670C" w14:paraId="16251874" w14:textId="77777777" w:rsidTr="003111DF">
        <w:tc>
          <w:tcPr>
            <w:tcW w:w="585" w:type="dxa"/>
          </w:tcPr>
          <w:p w14:paraId="75757B45" w14:textId="77777777" w:rsidR="003B6088" w:rsidRPr="00274988" w:rsidRDefault="00503D7B" w:rsidP="00274988">
            <w:pPr>
              <w:pStyle w:val="Style5"/>
              <w:widowControl/>
              <w:tabs>
                <w:tab w:val="center" w:pos="252"/>
              </w:tabs>
              <w:spacing w:line="240" w:lineRule="auto"/>
              <w:jc w:val="left"/>
              <w:rPr>
                <w:rStyle w:val="FontStyle11"/>
                <w:b/>
                <w:sz w:val="24"/>
                <w:szCs w:val="24"/>
              </w:rPr>
            </w:pPr>
            <w:r>
              <w:rPr>
                <w:rStyle w:val="FontStyle11"/>
                <w:b/>
                <w:sz w:val="24"/>
                <w:szCs w:val="24"/>
              </w:rPr>
              <w:t>23</w:t>
            </w:r>
            <w:r w:rsidR="003B6088" w:rsidRPr="00274988">
              <w:rPr>
                <w:rStyle w:val="FontStyle11"/>
                <w:b/>
                <w:sz w:val="24"/>
                <w:szCs w:val="24"/>
              </w:rPr>
              <w:t>.</w:t>
            </w:r>
          </w:p>
        </w:tc>
        <w:tc>
          <w:tcPr>
            <w:tcW w:w="4210" w:type="dxa"/>
          </w:tcPr>
          <w:p w14:paraId="3706F14A" w14:textId="77777777" w:rsidR="00C626D7" w:rsidRPr="00C626D7" w:rsidRDefault="00C626D7" w:rsidP="006A598F">
            <w:pPr>
              <w:pStyle w:val="BodyText"/>
              <w:spacing w:before="100" w:line="256" w:lineRule="auto"/>
              <w:ind w:right="30" w:firstLine="4"/>
              <w:jc w:val="both"/>
              <w:rPr>
                <w:rFonts w:ascii="Times New Roman" w:hAnsi="Times New Roman" w:cs="Times New Roman"/>
                <w:sz w:val="24"/>
                <w:szCs w:val="24"/>
              </w:rPr>
            </w:pPr>
            <w:r w:rsidRPr="00C626D7">
              <w:rPr>
                <w:rFonts w:ascii="Times New Roman" w:hAnsi="Times New Roman" w:cs="Times New Roman"/>
                <w:color w:val="242424"/>
                <w:sz w:val="24"/>
                <w:szCs w:val="24"/>
              </w:rPr>
              <w:t>In accordance with instructions given in the Tender Documentation: Volume 1, Section</w:t>
            </w:r>
            <w:r>
              <w:rPr>
                <w:rFonts w:ascii="Times New Roman" w:hAnsi="Times New Roman" w:cs="Times New Roman"/>
                <w:color w:val="242424"/>
                <w:sz w:val="24"/>
                <w:szCs w:val="24"/>
              </w:rPr>
              <w:t xml:space="preserve"> </w:t>
            </w:r>
            <w:r w:rsidRPr="00C626D7">
              <w:rPr>
                <w:rFonts w:ascii="Times New Roman" w:hAnsi="Times New Roman" w:cs="Times New Roman"/>
                <w:color w:val="242424"/>
                <w:sz w:val="24"/>
                <w:szCs w:val="24"/>
              </w:rPr>
              <w:t xml:space="preserve">l: Instructions to Tenderers, article 8.1 related to the tender procedure IPA - Construction    of     Intermodal     Terminal     in     Batajnica     (Belgrade), EuropeAid/ </w:t>
            </w:r>
            <w:r w:rsidRPr="00C626D7">
              <w:rPr>
                <w:rFonts w:ascii="Times New Roman" w:hAnsi="Times New Roman" w:cs="Times New Roman"/>
                <w:color w:val="242424"/>
                <w:spacing w:val="-4"/>
                <w:position w:val="-2"/>
                <w:sz w:val="24"/>
                <w:szCs w:val="24"/>
              </w:rPr>
              <w:t>39</w:t>
            </w:r>
            <w:r w:rsidRPr="00C626D7">
              <w:rPr>
                <w:rFonts w:ascii="Times New Roman" w:hAnsi="Times New Roman" w:cs="Times New Roman"/>
                <w:color w:val="242424"/>
                <w:spacing w:val="-4"/>
                <w:sz w:val="24"/>
                <w:szCs w:val="24"/>
              </w:rPr>
              <w:t>11</w:t>
            </w:r>
            <w:r w:rsidRPr="00C626D7">
              <w:rPr>
                <w:rFonts w:ascii="Times New Roman" w:hAnsi="Times New Roman" w:cs="Times New Roman"/>
                <w:color w:val="242424"/>
                <w:spacing w:val="-4"/>
                <w:position w:val="-1"/>
                <w:sz w:val="24"/>
                <w:szCs w:val="24"/>
              </w:rPr>
              <w:t>4</w:t>
            </w:r>
            <w:r w:rsidRPr="00C626D7">
              <w:rPr>
                <w:rFonts w:ascii="Times New Roman" w:hAnsi="Times New Roman" w:cs="Times New Roman"/>
                <w:color w:val="242424"/>
                <w:spacing w:val="-4"/>
                <w:sz w:val="24"/>
                <w:szCs w:val="24"/>
              </w:rPr>
              <w:t xml:space="preserve">/IH/WKS/RS, </w:t>
            </w:r>
            <w:r w:rsidRPr="00C626D7">
              <w:rPr>
                <w:rFonts w:ascii="Times New Roman" w:hAnsi="Times New Roman" w:cs="Times New Roman"/>
                <w:color w:val="242424"/>
                <w:sz w:val="24"/>
                <w:szCs w:val="24"/>
              </w:rPr>
              <w:t>we are kindly asking for clarification as</w:t>
            </w:r>
            <w:r w:rsidRPr="00C626D7">
              <w:rPr>
                <w:rFonts w:ascii="Times New Roman" w:hAnsi="Times New Roman" w:cs="Times New Roman"/>
                <w:color w:val="242424"/>
                <w:spacing w:val="-11"/>
                <w:sz w:val="24"/>
                <w:szCs w:val="24"/>
              </w:rPr>
              <w:t xml:space="preserve"> </w:t>
            </w:r>
            <w:r w:rsidRPr="00C626D7">
              <w:rPr>
                <w:rFonts w:ascii="Times New Roman" w:hAnsi="Times New Roman" w:cs="Times New Roman"/>
                <w:color w:val="242424"/>
                <w:sz w:val="24"/>
                <w:szCs w:val="24"/>
              </w:rPr>
              <w:t>follows:</w:t>
            </w:r>
          </w:p>
          <w:p w14:paraId="20637B07" w14:textId="77777777" w:rsidR="00C626D7" w:rsidRPr="00C626D7" w:rsidRDefault="00C626D7" w:rsidP="006A598F">
            <w:pPr>
              <w:pStyle w:val="BodyText"/>
              <w:tabs>
                <w:tab w:val="left" w:pos="4100"/>
              </w:tabs>
              <w:spacing w:before="165"/>
              <w:jc w:val="both"/>
              <w:rPr>
                <w:rFonts w:ascii="Times New Roman" w:hAnsi="Times New Roman" w:cs="Times New Roman"/>
                <w:sz w:val="24"/>
                <w:szCs w:val="24"/>
              </w:rPr>
            </w:pPr>
            <w:r w:rsidRPr="00C626D7">
              <w:rPr>
                <w:rFonts w:ascii="Times New Roman" w:hAnsi="Times New Roman" w:cs="Times New Roman"/>
                <w:color w:val="242424"/>
                <w:sz w:val="24"/>
                <w:szCs w:val="24"/>
              </w:rPr>
              <w:t>In the Tender Documentation: Volume i, Section</w:t>
            </w:r>
            <w:r w:rsidR="006A598F">
              <w:rPr>
                <w:rFonts w:ascii="Times New Roman" w:hAnsi="Times New Roman" w:cs="Times New Roman"/>
                <w:color w:val="242424"/>
                <w:sz w:val="24"/>
                <w:szCs w:val="24"/>
              </w:rPr>
              <w:t xml:space="preserve"> 1</w:t>
            </w:r>
            <w:r w:rsidRPr="00C626D7">
              <w:rPr>
                <w:rFonts w:ascii="Times New Roman" w:hAnsi="Times New Roman" w:cs="Times New Roman"/>
                <w:color w:val="242424"/>
                <w:sz w:val="24"/>
                <w:szCs w:val="24"/>
              </w:rPr>
              <w:t>: Instructions to Tenderers, article</w:t>
            </w:r>
          </w:p>
          <w:p w14:paraId="23737889" w14:textId="77777777" w:rsidR="00C626D7" w:rsidRPr="00C626D7" w:rsidRDefault="00C626D7" w:rsidP="006A598F">
            <w:pPr>
              <w:tabs>
                <w:tab w:val="left" w:pos="4100"/>
              </w:tabs>
              <w:spacing w:before="24" w:line="244" w:lineRule="auto"/>
              <w:ind w:right="30" w:firstLine="10"/>
              <w:jc w:val="both"/>
            </w:pPr>
            <w:r w:rsidRPr="00C626D7">
              <w:rPr>
                <w:color w:val="242424"/>
              </w:rPr>
              <w:t>12.2 c) Technical capacity of</w:t>
            </w:r>
            <w:r w:rsidR="006A598F">
              <w:rPr>
                <w:color w:val="242424"/>
              </w:rPr>
              <w:t xml:space="preserve"> </w:t>
            </w:r>
            <w:r w:rsidRPr="00C626D7">
              <w:rPr>
                <w:color w:val="242424"/>
              </w:rPr>
              <w:t>candidate, it is requested from the Candidate to have as completed</w:t>
            </w:r>
            <w:r w:rsidRPr="00C626D7">
              <w:rPr>
                <w:color w:val="242424"/>
                <w:spacing w:val="-29"/>
              </w:rPr>
              <w:t xml:space="preserve"> </w:t>
            </w:r>
            <w:r w:rsidRPr="00C626D7">
              <w:rPr>
                <w:i/>
                <w:color w:val="242424"/>
              </w:rPr>
              <w:t>“at</w:t>
            </w:r>
            <w:r w:rsidRPr="00C626D7">
              <w:rPr>
                <w:i/>
                <w:color w:val="242424"/>
                <w:spacing w:val="-28"/>
              </w:rPr>
              <w:t xml:space="preserve"> </w:t>
            </w:r>
            <w:r w:rsidRPr="00C626D7">
              <w:rPr>
                <w:i/>
                <w:color w:val="242424"/>
              </w:rPr>
              <w:t>least</w:t>
            </w:r>
            <w:r w:rsidRPr="00C626D7">
              <w:rPr>
                <w:i/>
                <w:color w:val="242424"/>
                <w:spacing w:val="-25"/>
              </w:rPr>
              <w:t xml:space="preserve"> </w:t>
            </w:r>
            <w:r w:rsidR="006A598F">
              <w:rPr>
                <w:i/>
                <w:color w:val="242424"/>
              </w:rPr>
              <w:t>two</w:t>
            </w:r>
            <w:r w:rsidRPr="00C626D7">
              <w:rPr>
                <w:i/>
                <w:color w:val="242424"/>
                <w:spacing w:val="-32"/>
              </w:rPr>
              <w:t xml:space="preserve"> </w:t>
            </w:r>
            <w:r w:rsidRPr="00C626D7">
              <w:rPr>
                <w:i/>
                <w:color w:val="242424"/>
              </w:rPr>
              <w:t>(</w:t>
            </w:r>
            <w:r w:rsidR="006A598F">
              <w:rPr>
                <w:i/>
                <w:color w:val="242424"/>
              </w:rPr>
              <w:t>2</w:t>
            </w:r>
            <w:r w:rsidRPr="00C626D7">
              <w:rPr>
                <w:i/>
                <w:color w:val="242424"/>
              </w:rPr>
              <w:t>)</w:t>
            </w:r>
            <w:r w:rsidRPr="00C626D7">
              <w:rPr>
                <w:i/>
                <w:color w:val="242424"/>
                <w:spacing w:val="-40"/>
              </w:rPr>
              <w:t xml:space="preserve"> </w:t>
            </w:r>
            <w:r w:rsidR="006A598F" w:rsidRPr="00C626D7">
              <w:rPr>
                <w:i/>
                <w:color w:val="242424"/>
              </w:rPr>
              <w:t>work</w:t>
            </w:r>
            <w:r w:rsidRPr="00C626D7">
              <w:rPr>
                <w:i/>
                <w:color w:val="242424"/>
                <w:spacing w:val="-32"/>
              </w:rPr>
              <w:t xml:space="preserve"> </w:t>
            </w:r>
            <w:r w:rsidRPr="00C626D7">
              <w:rPr>
                <w:i/>
                <w:color w:val="242424"/>
              </w:rPr>
              <w:t>contracts,</w:t>
            </w:r>
            <w:r w:rsidRPr="00C626D7">
              <w:rPr>
                <w:i/>
                <w:color w:val="242424"/>
                <w:spacing w:val="-31"/>
              </w:rPr>
              <w:t xml:space="preserve"> </w:t>
            </w:r>
            <w:r w:rsidRPr="00C626D7">
              <w:rPr>
                <w:i/>
                <w:color w:val="242424"/>
              </w:rPr>
              <w:t>for</w:t>
            </w:r>
            <w:r w:rsidRPr="00C626D7">
              <w:rPr>
                <w:i/>
                <w:color w:val="242424"/>
                <w:spacing w:val="-30"/>
              </w:rPr>
              <w:t xml:space="preserve"> </w:t>
            </w:r>
            <w:r w:rsidRPr="00C626D7">
              <w:rPr>
                <w:i/>
                <w:color w:val="242424"/>
              </w:rPr>
              <w:t>the</w:t>
            </w:r>
            <w:r w:rsidRPr="00C626D7">
              <w:rPr>
                <w:i/>
                <w:color w:val="242424"/>
                <w:spacing w:val="-32"/>
              </w:rPr>
              <w:t xml:space="preserve"> </w:t>
            </w:r>
            <w:r w:rsidRPr="00C626D7">
              <w:rPr>
                <w:i/>
                <w:color w:val="242424"/>
              </w:rPr>
              <w:t>road</w:t>
            </w:r>
            <w:r w:rsidRPr="00C626D7">
              <w:rPr>
                <w:i/>
                <w:color w:val="242424"/>
                <w:spacing w:val="-33"/>
              </w:rPr>
              <w:t xml:space="preserve"> </w:t>
            </w:r>
            <w:r w:rsidRPr="00C626D7">
              <w:rPr>
                <w:color w:val="242424"/>
              </w:rPr>
              <w:t>construction</w:t>
            </w:r>
            <w:r w:rsidRPr="00C626D7">
              <w:rPr>
                <w:i/>
                <w:color w:val="242424"/>
              </w:rPr>
              <w:t>/reconstruction including</w:t>
            </w:r>
            <w:r w:rsidR="006A598F">
              <w:rPr>
                <w:i/>
                <w:color w:val="242424"/>
              </w:rPr>
              <w:t xml:space="preserve"> </w:t>
            </w:r>
            <w:r w:rsidRPr="00C626D7">
              <w:rPr>
                <w:i/>
                <w:color w:val="242424"/>
              </w:rPr>
              <w:t>accompanying infrastructure (storm/se</w:t>
            </w:r>
            <w:r w:rsidR="006A598F">
              <w:rPr>
                <w:i/>
                <w:color w:val="242424"/>
              </w:rPr>
              <w:t>w</w:t>
            </w:r>
            <w:r w:rsidRPr="00C626D7">
              <w:rPr>
                <w:i/>
                <w:color w:val="242424"/>
              </w:rPr>
              <w:t xml:space="preserve">er and </w:t>
            </w:r>
            <w:r w:rsidR="006A598F">
              <w:rPr>
                <w:color w:val="242424"/>
              </w:rPr>
              <w:t>publ</w:t>
            </w:r>
            <w:r w:rsidR="006A598F" w:rsidRPr="00C626D7">
              <w:rPr>
                <w:color w:val="242424"/>
              </w:rPr>
              <w:t>ic</w:t>
            </w:r>
            <w:r w:rsidRPr="00C626D7">
              <w:rPr>
                <w:color w:val="242424"/>
              </w:rPr>
              <w:t xml:space="preserve"> </w:t>
            </w:r>
            <w:r w:rsidRPr="00C626D7">
              <w:rPr>
                <w:i/>
                <w:color w:val="242424"/>
              </w:rPr>
              <w:t xml:space="preserve">lighting) </w:t>
            </w:r>
            <w:r w:rsidR="006A598F">
              <w:rPr>
                <w:i/>
                <w:color w:val="242424"/>
              </w:rPr>
              <w:t>w</w:t>
            </w:r>
            <w:r w:rsidRPr="00C626D7">
              <w:rPr>
                <w:i/>
                <w:color w:val="242424"/>
              </w:rPr>
              <w:t xml:space="preserve">ith </w:t>
            </w:r>
            <w:r w:rsidRPr="00C626D7">
              <w:rPr>
                <w:color w:val="242424"/>
              </w:rPr>
              <w:t xml:space="preserve">minimum </w:t>
            </w:r>
            <w:r w:rsidRPr="00C626D7">
              <w:rPr>
                <w:i/>
                <w:color w:val="242424"/>
              </w:rPr>
              <w:t xml:space="preserve">value of EUR </w:t>
            </w:r>
            <w:r w:rsidR="006A598F">
              <w:rPr>
                <w:i/>
                <w:color w:val="242424"/>
              </w:rPr>
              <w:t>1</w:t>
            </w:r>
            <w:r w:rsidRPr="00C626D7">
              <w:rPr>
                <w:i/>
                <w:color w:val="242424"/>
              </w:rPr>
              <w:t>.</w:t>
            </w:r>
            <w:r w:rsidR="006A598F">
              <w:rPr>
                <w:i/>
                <w:color w:val="242424"/>
              </w:rPr>
              <w:t>000.000</w:t>
            </w:r>
            <w:r w:rsidRPr="00C626D7">
              <w:rPr>
                <w:i/>
                <w:color w:val="242424"/>
              </w:rPr>
              <w:t xml:space="preserve"> of a single </w:t>
            </w:r>
            <w:r w:rsidRPr="00C626D7">
              <w:rPr>
                <w:color w:val="242424"/>
              </w:rPr>
              <w:t xml:space="preserve">contract </w:t>
            </w:r>
            <w:r w:rsidRPr="00C626D7">
              <w:rPr>
                <w:i/>
                <w:color w:val="242424"/>
              </w:rPr>
              <w:t xml:space="preserve">and </w:t>
            </w:r>
            <w:r w:rsidR="006A598F">
              <w:rPr>
                <w:i/>
                <w:color w:val="242424"/>
              </w:rPr>
              <w:t>w</w:t>
            </w:r>
            <w:r w:rsidRPr="00C626D7">
              <w:rPr>
                <w:i/>
                <w:color w:val="242424"/>
              </w:rPr>
              <w:t xml:space="preserve">ith total </w:t>
            </w:r>
            <w:r w:rsidRPr="00C626D7">
              <w:rPr>
                <w:color w:val="242424"/>
              </w:rPr>
              <w:t>cumu</w:t>
            </w:r>
            <w:r w:rsidR="006A598F">
              <w:rPr>
                <w:color w:val="242424"/>
              </w:rPr>
              <w:t>lative</w:t>
            </w:r>
            <w:r w:rsidRPr="00C626D7">
              <w:rPr>
                <w:color w:val="242424"/>
              </w:rPr>
              <w:t xml:space="preserve"> </w:t>
            </w:r>
            <w:r w:rsidRPr="00C626D7">
              <w:rPr>
                <w:i/>
                <w:color w:val="242424"/>
              </w:rPr>
              <w:t xml:space="preserve">value for all contracts EUR </w:t>
            </w:r>
            <w:r w:rsidR="006A598F">
              <w:rPr>
                <w:i/>
                <w:color w:val="242424"/>
              </w:rPr>
              <w:t>5.000.000</w:t>
            </w:r>
            <w:r w:rsidRPr="00C626D7">
              <w:rPr>
                <w:i/>
                <w:color w:val="242424"/>
              </w:rPr>
              <w:t xml:space="preserve">”. </w:t>
            </w:r>
            <w:r w:rsidRPr="00C626D7">
              <w:rPr>
                <w:color w:val="242424"/>
              </w:rPr>
              <w:t xml:space="preserve">Hereby we are kindly asking whether one contract with the value of EUR </w:t>
            </w:r>
            <w:r w:rsidR="006A598F">
              <w:rPr>
                <w:color w:val="242424"/>
                <w:position w:val="-2"/>
              </w:rPr>
              <w:t>300</w:t>
            </w:r>
            <w:r w:rsidRPr="00C626D7">
              <w:rPr>
                <w:color w:val="242424"/>
              </w:rPr>
              <w:t>.</w:t>
            </w:r>
            <w:r w:rsidR="006A598F">
              <w:rPr>
                <w:color w:val="242424"/>
              </w:rPr>
              <w:t>000</w:t>
            </w:r>
            <w:r w:rsidRPr="00C626D7">
              <w:rPr>
                <w:color w:val="242424"/>
              </w:rPr>
              <w:t>.</w:t>
            </w:r>
            <w:r w:rsidR="006A598F">
              <w:rPr>
                <w:color w:val="242424"/>
              </w:rPr>
              <w:t>000</w:t>
            </w:r>
            <w:r w:rsidRPr="00C626D7">
              <w:rPr>
                <w:color w:val="242424"/>
              </w:rPr>
              <w:t xml:space="preserve"> be considered as suitable, since it multiple exceeds the required total value of the</w:t>
            </w:r>
            <w:r w:rsidRPr="00C626D7">
              <w:rPr>
                <w:color w:val="242424"/>
                <w:spacing w:val="-2"/>
              </w:rPr>
              <w:t xml:space="preserve"> </w:t>
            </w:r>
            <w:r w:rsidRPr="00C626D7">
              <w:rPr>
                <w:color w:val="242424"/>
              </w:rPr>
              <w:t>works.</w:t>
            </w:r>
          </w:p>
          <w:p w14:paraId="1FE3F411" w14:textId="77777777" w:rsidR="003B6088" w:rsidRDefault="00C626D7" w:rsidP="003C0063">
            <w:pPr>
              <w:pStyle w:val="BodyText"/>
              <w:tabs>
                <w:tab w:val="left" w:pos="4100"/>
              </w:tabs>
              <w:spacing w:before="217"/>
              <w:jc w:val="both"/>
            </w:pPr>
            <w:r w:rsidRPr="00C626D7">
              <w:rPr>
                <w:rFonts w:ascii="Times New Roman" w:hAnsi="Times New Roman" w:cs="Times New Roman"/>
                <w:color w:val="242424"/>
                <w:sz w:val="24"/>
                <w:szCs w:val="24"/>
              </w:rPr>
              <w:t xml:space="preserve">Your prompt response </w:t>
            </w:r>
            <w:r w:rsidRPr="00C626D7">
              <w:rPr>
                <w:rFonts w:ascii="Times New Roman" w:hAnsi="Times New Roman" w:cs="Times New Roman"/>
                <w:color w:val="232323"/>
                <w:sz w:val="24"/>
                <w:szCs w:val="24"/>
              </w:rPr>
              <w:t xml:space="preserve">will </w:t>
            </w:r>
            <w:r w:rsidRPr="00C626D7">
              <w:rPr>
                <w:rFonts w:ascii="Times New Roman" w:hAnsi="Times New Roman" w:cs="Times New Roman"/>
                <w:sz w:val="24"/>
                <w:szCs w:val="24"/>
              </w:rPr>
              <w:t xml:space="preserve">be </w:t>
            </w:r>
            <w:r w:rsidRPr="00C626D7">
              <w:rPr>
                <w:rFonts w:ascii="Times New Roman" w:hAnsi="Times New Roman" w:cs="Times New Roman"/>
                <w:color w:val="242424"/>
                <w:sz w:val="24"/>
                <w:szCs w:val="24"/>
              </w:rPr>
              <w:t>highly appreciated.</w:t>
            </w:r>
          </w:p>
        </w:tc>
        <w:tc>
          <w:tcPr>
            <w:tcW w:w="4805" w:type="dxa"/>
          </w:tcPr>
          <w:p w14:paraId="0716F0EB" w14:textId="77777777" w:rsidR="00C55911" w:rsidRPr="002C2A62" w:rsidRDefault="00A022DC" w:rsidP="00AA02BC">
            <w:pPr>
              <w:pStyle w:val="Style5"/>
              <w:widowControl/>
              <w:spacing w:line="274" w:lineRule="exact"/>
              <w:ind w:left="5" w:hanging="5"/>
              <w:rPr>
                <w:rStyle w:val="FontStyle11"/>
                <w:color w:val="FF0000"/>
                <w:sz w:val="24"/>
                <w:szCs w:val="24"/>
              </w:rPr>
            </w:pPr>
            <w:r w:rsidRPr="00141DAC">
              <w:rPr>
                <w:rStyle w:val="FontStyle11"/>
                <w:sz w:val="24"/>
                <w:szCs w:val="24"/>
              </w:rPr>
              <w:t>At this stage, the C</w:t>
            </w:r>
            <w:r w:rsidR="00AA02BC">
              <w:rPr>
                <w:rStyle w:val="FontStyle11"/>
                <w:sz w:val="24"/>
                <w:szCs w:val="24"/>
              </w:rPr>
              <w:t>ontracting Authority</w:t>
            </w:r>
            <w:r w:rsidRPr="00141DAC">
              <w:rPr>
                <w:rStyle w:val="FontStyle11"/>
                <w:sz w:val="24"/>
                <w:szCs w:val="24"/>
              </w:rPr>
              <w:t xml:space="preserve"> cannot express the opinion on individual cases.</w:t>
            </w:r>
          </w:p>
        </w:tc>
      </w:tr>
    </w:tbl>
    <w:p w14:paraId="2827CCA5" w14:textId="77777777" w:rsidR="006552AD" w:rsidRDefault="006552AD">
      <w:pPr>
        <w:widowControl/>
        <w:rPr>
          <w:rStyle w:val="FontStyle11"/>
        </w:rPr>
        <w:sectPr w:rsidR="006552AD" w:rsidSect="00F9670C">
          <w:type w:val="continuous"/>
          <w:pgSz w:w="12240" w:h="20160"/>
          <w:pgMar w:top="2374" w:right="1341" w:bottom="1440" w:left="1279" w:header="432" w:footer="720" w:gutter="0"/>
          <w:cols w:space="60"/>
          <w:noEndnote/>
          <w:docGrid w:linePitch="326"/>
        </w:sectPr>
      </w:pPr>
    </w:p>
    <w:p w14:paraId="19E299C1" w14:textId="77777777" w:rsidR="006552AD" w:rsidRDefault="00F9670C">
      <w:pPr>
        <w:pStyle w:val="Style7"/>
        <w:widowControl/>
        <w:jc w:val="both"/>
        <w:rPr>
          <w:rStyle w:val="FontStyle13"/>
        </w:rPr>
      </w:pPr>
      <w:r>
        <w:rPr>
          <w:rStyle w:val="FontStyle13"/>
        </w:rPr>
        <w:br w:type="column"/>
      </w:r>
    </w:p>
    <w:p w14:paraId="2531435A" w14:textId="77777777" w:rsidR="006552AD" w:rsidRDefault="006552AD">
      <w:pPr>
        <w:pStyle w:val="Style7"/>
        <w:widowControl/>
        <w:jc w:val="both"/>
        <w:rPr>
          <w:rStyle w:val="FontStyle13"/>
        </w:rPr>
        <w:sectPr w:rsidR="006552AD">
          <w:type w:val="continuous"/>
          <w:pgSz w:w="12240" w:h="20160"/>
          <w:pgMar w:top="2374" w:right="923" w:bottom="1440" w:left="1298" w:header="720" w:footer="720" w:gutter="0"/>
          <w:cols w:num="2" w:space="720" w:equalWidth="0">
            <w:col w:w="2011" w:space="7286"/>
            <w:col w:w="720"/>
          </w:cols>
          <w:noEndnote/>
        </w:sectPr>
      </w:pPr>
    </w:p>
    <w:p w14:paraId="6DF19D0C" w14:textId="77777777" w:rsidR="000546EF" w:rsidRDefault="000546EF">
      <w:pPr>
        <w:widowControl/>
        <w:rPr>
          <w:rStyle w:val="FontStyle13"/>
        </w:rPr>
      </w:pPr>
    </w:p>
    <w:sectPr w:rsidR="000546EF">
      <w:type w:val="continuous"/>
      <w:pgSz w:w="12240" w:h="20160"/>
      <w:pgMar w:top="2374" w:right="923" w:bottom="1440" w:left="127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F699C" w14:textId="77777777" w:rsidR="00917D33" w:rsidRDefault="00917D33">
      <w:r>
        <w:separator/>
      </w:r>
    </w:p>
  </w:endnote>
  <w:endnote w:type="continuationSeparator" w:id="0">
    <w:p w14:paraId="49B225DA" w14:textId="77777777" w:rsidR="00917D33" w:rsidRDefault="0091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0071C" w14:textId="77777777" w:rsidR="00917D33" w:rsidRDefault="00917D33">
      <w:r>
        <w:separator/>
      </w:r>
    </w:p>
  </w:footnote>
  <w:footnote w:type="continuationSeparator" w:id="0">
    <w:p w14:paraId="526E6531" w14:textId="77777777" w:rsidR="00917D33" w:rsidRDefault="00917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167CE"/>
    <w:multiLevelType w:val="hybridMultilevel"/>
    <w:tmpl w:val="2154E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E2769"/>
    <w:multiLevelType w:val="hybridMultilevel"/>
    <w:tmpl w:val="3D7E749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517E0BEF"/>
    <w:multiLevelType w:val="hybridMultilevel"/>
    <w:tmpl w:val="2D78AB50"/>
    <w:lvl w:ilvl="0" w:tplc="0809000F">
      <w:start w:val="1"/>
      <w:numFmt w:val="decimal"/>
      <w:lvlText w:val="%1."/>
      <w:lvlJc w:val="left"/>
      <w:pPr>
        <w:ind w:left="720" w:hanging="360"/>
      </w:pPr>
    </w:lvl>
    <w:lvl w:ilvl="1" w:tplc="2E2A58C2">
      <w:start w:val="2"/>
      <w:numFmt w:val="bullet"/>
      <w:lvlText w:val="-"/>
      <w:lvlJc w:val="left"/>
      <w:pPr>
        <w:ind w:left="1440" w:hanging="360"/>
      </w:pPr>
      <w:rPr>
        <w:rFonts w:ascii="Times New Roman" w:eastAsia="Times New Roman" w:hAnsi="Times New Roman" w:cs="Times New Roman" w:hint="default"/>
      </w:rPr>
    </w:lvl>
    <w:lvl w:ilvl="2" w:tplc="63A8B23A">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44221F"/>
    <w:multiLevelType w:val="hybridMultilevel"/>
    <w:tmpl w:val="D56634B6"/>
    <w:lvl w:ilvl="0" w:tplc="5E58F3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3C27C5"/>
    <w:multiLevelType w:val="hybridMultilevel"/>
    <w:tmpl w:val="8420642C"/>
    <w:lvl w:ilvl="0" w:tplc="C3063FA8">
      <w:start w:val="1"/>
      <w:numFmt w:val="decimal"/>
      <w:lvlText w:val="%1."/>
      <w:lvlJc w:val="left"/>
      <w:pPr>
        <w:ind w:left="715" w:hanging="645"/>
      </w:pPr>
      <w:rPr>
        <w:rFonts w:hint="default"/>
      </w:rPr>
    </w:lvl>
    <w:lvl w:ilvl="1" w:tplc="241A0019" w:tentative="1">
      <w:start w:val="1"/>
      <w:numFmt w:val="lowerLetter"/>
      <w:lvlText w:val="%2."/>
      <w:lvlJc w:val="left"/>
      <w:pPr>
        <w:ind w:left="1150" w:hanging="360"/>
      </w:pPr>
    </w:lvl>
    <w:lvl w:ilvl="2" w:tplc="241A001B" w:tentative="1">
      <w:start w:val="1"/>
      <w:numFmt w:val="lowerRoman"/>
      <w:lvlText w:val="%3."/>
      <w:lvlJc w:val="right"/>
      <w:pPr>
        <w:ind w:left="1870" w:hanging="180"/>
      </w:pPr>
    </w:lvl>
    <w:lvl w:ilvl="3" w:tplc="241A000F" w:tentative="1">
      <w:start w:val="1"/>
      <w:numFmt w:val="decimal"/>
      <w:lvlText w:val="%4."/>
      <w:lvlJc w:val="left"/>
      <w:pPr>
        <w:ind w:left="2590" w:hanging="360"/>
      </w:pPr>
    </w:lvl>
    <w:lvl w:ilvl="4" w:tplc="241A0019" w:tentative="1">
      <w:start w:val="1"/>
      <w:numFmt w:val="lowerLetter"/>
      <w:lvlText w:val="%5."/>
      <w:lvlJc w:val="left"/>
      <w:pPr>
        <w:ind w:left="3310" w:hanging="360"/>
      </w:pPr>
    </w:lvl>
    <w:lvl w:ilvl="5" w:tplc="241A001B" w:tentative="1">
      <w:start w:val="1"/>
      <w:numFmt w:val="lowerRoman"/>
      <w:lvlText w:val="%6."/>
      <w:lvlJc w:val="right"/>
      <w:pPr>
        <w:ind w:left="4030" w:hanging="180"/>
      </w:pPr>
    </w:lvl>
    <w:lvl w:ilvl="6" w:tplc="241A000F" w:tentative="1">
      <w:start w:val="1"/>
      <w:numFmt w:val="decimal"/>
      <w:lvlText w:val="%7."/>
      <w:lvlJc w:val="left"/>
      <w:pPr>
        <w:ind w:left="4750" w:hanging="360"/>
      </w:pPr>
    </w:lvl>
    <w:lvl w:ilvl="7" w:tplc="241A0019" w:tentative="1">
      <w:start w:val="1"/>
      <w:numFmt w:val="lowerLetter"/>
      <w:lvlText w:val="%8."/>
      <w:lvlJc w:val="left"/>
      <w:pPr>
        <w:ind w:left="5470" w:hanging="360"/>
      </w:pPr>
    </w:lvl>
    <w:lvl w:ilvl="8" w:tplc="241A001B" w:tentative="1">
      <w:start w:val="1"/>
      <w:numFmt w:val="lowerRoman"/>
      <w:lvlText w:val="%9."/>
      <w:lvlJc w:val="right"/>
      <w:pPr>
        <w:ind w:left="619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546EF"/>
    <w:rsid w:val="00022F38"/>
    <w:rsid w:val="00035033"/>
    <w:rsid w:val="00042021"/>
    <w:rsid w:val="00043705"/>
    <w:rsid w:val="00051101"/>
    <w:rsid w:val="000519F9"/>
    <w:rsid w:val="000546EF"/>
    <w:rsid w:val="00066D3B"/>
    <w:rsid w:val="000673D4"/>
    <w:rsid w:val="0007233A"/>
    <w:rsid w:val="00080668"/>
    <w:rsid w:val="0008137C"/>
    <w:rsid w:val="00081721"/>
    <w:rsid w:val="000940CB"/>
    <w:rsid w:val="000A0FFA"/>
    <w:rsid w:val="000B083C"/>
    <w:rsid w:val="000C03A7"/>
    <w:rsid w:val="000C25CA"/>
    <w:rsid w:val="000C7306"/>
    <w:rsid w:val="000C7A32"/>
    <w:rsid w:val="000D5640"/>
    <w:rsid w:val="000D6F2A"/>
    <w:rsid w:val="000E459A"/>
    <w:rsid w:val="000F09ED"/>
    <w:rsid w:val="001008E9"/>
    <w:rsid w:val="001054FB"/>
    <w:rsid w:val="0010701D"/>
    <w:rsid w:val="00115183"/>
    <w:rsid w:val="00116396"/>
    <w:rsid w:val="00116C14"/>
    <w:rsid w:val="00141DAC"/>
    <w:rsid w:val="00152A0D"/>
    <w:rsid w:val="00172423"/>
    <w:rsid w:val="00174F62"/>
    <w:rsid w:val="00194339"/>
    <w:rsid w:val="001A0D3D"/>
    <w:rsid w:val="001C21C6"/>
    <w:rsid w:val="001C3B70"/>
    <w:rsid w:val="001D768C"/>
    <w:rsid w:val="001E3C70"/>
    <w:rsid w:val="00202114"/>
    <w:rsid w:val="00202966"/>
    <w:rsid w:val="00211AB2"/>
    <w:rsid w:val="002131C5"/>
    <w:rsid w:val="002133A6"/>
    <w:rsid w:val="00226398"/>
    <w:rsid w:val="0023664F"/>
    <w:rsid w:val="0023736A"/>
    <w:rsid w:val="00257288"/>
    <w:rsid w:val="00262B90"/>
    <w:rsid w:val="00266B39"/>
    <w:rsid w:val="00274902"/>
    <w:rsid w:val="00274988"/>
    <w:rsid w:val="002A6E89"/>
    <w:rsid w:val="002C28EB"/>
    <w:rsid w:val="002C2A62"/>
    <w:rsid w:val="002D4C7A"/>
    <w:rsid w:val="002E36CE"/>
    <w:rsid w:val="002E7622"/>
    <w:rsid w:val="00301B70"/>
    <w:rsid w:val="003051D3"/>
    <w:rsid w:val="003111DF"/>
    <w:rsid w:val="003218F5"/>
    <w:rsid w:val="003718EF"/>
    <w:rsid w:val="00372E5E"/>
    <w:rsid w:val="00376555"/>
    <w:rsid w:val="00386F4A"/>
    <w:rsid w:val="003A01D3"/>
    <w:rsid w:val="003A42F7"/>
    <w:rsid w:val="003B1F82"/>
    <w:rsid w:val="003B2B4F"/>
    <w:rsid w:val="003B6088"/>
    <w:rsid w:val="003C0063"/>
    <w:rsid w:val="003E1106"/>
    <w:rsid w:val="003F1DA2"/>
    <w:rsid w:val="004018C3"/>
    <w:rsid w:val="0041333C"/>
    <w:rsid w:val="00425980"/>
    <w:rsid w:val="0043149B"/>
    <w:rsid w:val="004458FE"/>
    <w:rsid w:val="00453384"/>
    <w:rsid w:val="004629C5"/>
    <w:rsid w:val="004644B9"/>
    <w:rsid w:val="00475FE4"/>
    <w:rsid w:val="00495715"/>
    <w:rsid w:val="004A13B5"/>
    <w:rsid w:val="004A4FA7"/>
    <w:rsid w:val="004B0735"/>
    <w:rsid w:val="004E58D6"/>
    <w:rsid w:val="004E6F5B"/>
    <w:rsid w:val="004F13A6"/>
    <w:rsid w:val="004F1717"/>
    <w:rsid w:val="005008A1"/>
    <w:rsid w:val="00503D7B"/>
    <w:rsid w:val="0050717A"/>
    <w:rsid w:val="005125DB"/>
    <w:rsid w:val="00514117"/>
    <w:rsid w:val="00514B14"/>
    <w:rsid w:val="005159C5"/>
    <w:rsid w:val="00522D73"/>
    <w:rsid w:val="005269C3"/>
    <w:rsid w:val="005331C7"/>
    <w:rsid w:val="005423DE"/>
    <w:rsid w:val="005519F6"/>
    <w:rsid w:val="00561C74"/>
    <w:rsid w:val="005642FA"/>
    <w:rsid w:val="00567DD8"/>
    <w:rsid w:val="0057543A"/>
    <w:rsid w:val="005B08D4"/>
    <w:rsid w:val="005B201E"/>
    <w:rsid w:val="005B359D"/>
    <w:rsid w:val="005B76C9"/>
    <w:rsid w:val="005E5D4A"/>
    <w:rsid w:val="005F0DB4"/>
    <w:rsid w:val="00611627"/>
    <w:rsid w:val="00622541"/>
    <w:rsid w:val="00650EDD"/>
    <w:rsid w:val="00653847"/>
    <w:rsid w:val="006552AD"/>
    <w:rsid w:val="006575FB"/>
    <w:rsid w:val="00657834"/>
    <w:rsid w:val="006808CF"/>
    <w:rsid w:val="00685871"/>
    <w:rsid w:val="006913AA"/>
    <w:rsid w:val="00696ED6"/>
    <w:rsid w:val="00696F11"/>
    <w:rsid w:val="006A0227"/>
    <w:rsid w:val="006A598F"/>
    <w:rsid w:val="006D3986"/>
    <w:rsid w:val="006D7208"/>
    <w:rsid w:val="006E0CE2"/>
    <w:rsid w:val="006E1C68"/>
    <w:rsid w:val="006E7185"/>
    <w:rsid w:val="006E7598"/>
    <w:rsid w:val="006F0585"/>
    <w:rsid w:val="006F4E6E"/>
    <w:rsid w:val="007021FF"/>
    <w:rsid w:val="00707765"/>
    <w:rsid w:val="007107C2"/>
    <w:rsid w:val="00715386"/>
    <w:rsid w:val="00741013"/>
    <w:rsid w:val="00741250"/>
    <w:rsid w:val="00752C48"/>
    <w:rsid w:val="00756307"/>
    <w:rsid w:val="00775B74"/>
    <w:rsid w:val="00782AD8"/>
    <w:rsid w:val="007B01F6"/>
    <w:rsid w:val="007C65CB"/>
    <w:rsid w:val="007D2D9F"/>
    <w:rsid w:val="007E6B07"/>
    <w:rsid w:val="00817432"/>
    <w:rsid w:val="00835AC1"/>
    <w:rsid w:val="00840B9E"/>
    <w:rsid w:val="00841451"/>
    <w:rsid w:val="00844DB4"/>
    <w:rsid w:val="00853132"/>
    <w:rsid w:val="0085669E"/>
    <w:rsid w:val="008715BC"/>
    <w:rsid w:val="00873FB1"/>
    <w:rsid w:val="0087470C"/>
    <w:rsid w:val="00874AE1"/>
    <w:rsid w:val="00885D3D"/>
    <w:rsid w:val="008B6FCA"/>
    <w:rsid w:val="008C4AF0"/>
    <w:rsid w:val="008D5940"/>
    <w:rsid w:val="008D6690"/>
    <w:rsid w:val="008E2C24"/>
    <w:rsid w:val="008E7643"/>
    <w:rsid w:val="008F47E9"/>
    <w:rsid w:val="00903C85"/>
    <w:rsid w:val="009103BE"/>
    <w:rsid w:val="00917D33"/>
    <w:rsid w:val="0092646B"/>
    <w:rsid w:val="0094345E"/>
    <w:rsid w:val="00952F35"/>
    <w:rsid w:val="00953C8F"/>
    <w:rsid w:val="009565C7"/>
    <w:rsid w:val="00956C7D"/>
    <w:rsid w:val="00970304"/>
    <w:rsid w:val="009852DA"/>
    <w:rsid w:val="009B78E7"/>
    <w:rsid w:val="009C135C"/>
    <w:rsid w:val="009C1766"/>
    <w:rsid w:val="009C7E75"/>
    <w:rsid w:val="009E79EF"/>
    <w:rsid w:val="009F517B"/>
    <w:rsid w:val="00A022DC"/>
    <w:rsid w:val="00A042F7"/>
    <w:rsid w:val="00A15FAA"/>
    <w:rsid w:val="00A21625"/>
    <w:rsid w:val="00A27821"/>
    <w:rsid w:val="00A37A58"/>
    <w:rsid w:val="00A534CE"/>
    <w:rsid w:val="00A624BE"/>
    <w:rsid w:val="00A758CE"/>
    <w:rsid w:val="00A76E77"/>
    <w:rsid w:val="00A80598"/>
    <w:rsid w:val="00A84B56"/>
    <w:rsid w:val="00A84F35"/>
    <w:rsid w:val="00A873B4"/>
    <w:rsid w:val="00A90076"/>
    <w:rsid w:val="00AA02BC"/>
    <w:rsid w:val="00AB1F9F"/>
    <w:rsid w:val="00AB754F"/>
    <w:rsid w:val="00AE08DB"/>
    <w:rsid w:val="00AE3EA8"/>
    <w:rsid w:val="00AE7FFD"/>
    <w:rsid w:val="00AF1982"/>
    <w:rsid w:val="00B067CE"/>
    <w:rsid w:val="00B07B0F"/>
    <w:rsid w:val="00B141AF"/>
    <w:rsid w:val="00B159DD"/>
    <w:rsid w:val="00B15C50"/>
    <w:rsid w:val="00B31275"/>
    <w:rsid w:val="00B40EEB"/>
    <w:rsid w:val="00B60E09"/>
    <w:rsid w:val="00B6291F"/>
    <w:rsid w:val="00B675D1"/>
    <w:rsid w:val="00B760C0"/>
    <w:rsid w:val="00B7614A"/>
    <w:rsid w:val="00B76740"/>
    <w:rsid w:val="00B84E1B"/>
    <w:rsid w:val="00B9174B"/>
    <w:rsid w:val="00B932C0"/>
    <w:rsid w:val="00BA771A"/>
    <w:rsid w:val="00BC0BE8"/>
    <w:rsid w:val="00BC7FB4"/>
    <w:rsid w:val="00BD04A4"/>
    <w:rsid w:val="00BE0BD9"/>
    <w:rsid w:val="00BE1518"/>
    <w:rsid w:val="00BE33C9"/>
    <w:rsid w:val="00BE4188"/>
    <w:rsid w:val="00BE5EF8"/>
    <w:rsid w:val="00BF044D"/>
    <w:rsid w:val="00BF3AA1"/>
    <w:rsid w:val="00BF6A51"/>
    <w:rsid w:val="00C13717"/>
    <w:rsid w:val="00C14303"/>
    <w:rsid w:val="00C23ED3"/>
    <w:rsid w:val="00C350FE"/>
    <w:rsid w:val="00C42D42"/>
    <w:rsid w:val="00C447DB"/>
    <w:rsid w:val="00C55911"/>
    <w:rsid w:val="00C60BC6"/>
    <w:rsid w:val="00C610BB"/>
    <w:rsid w:val="00C626D7"/>
    <w:rsid w:val="00C639C8"/>
    <w:rsid w:val="00C6697B"/>
    <w:rsid w:val="00C70376"/>
    <w:rsid w:val="00C767F7"/>
    <w:rsid w:val="00C83F92"/>
    <w:rsid w:val="00C9475F"/>
    <w:rsid w:val="00C9767A"/>
    <w:rsid w:val="00CC0ADE"/>
    <w:rsid w:val="00CC4FCD"/>
    <w:rsid w:val="00CD6486"/>
    <w:rsid w:val="00CE4FC7"/>
    <w:rsid w:val="00CF078C"/>
    <w:rsid w:val="00CF0D43"/>
    <w:rsid w:val="00D0605E"/>
    <w:rsid w:val="00D5120E"/>
    <w:rsid w:val="00D53254"/>
    <w:rsid w:val="00D60124"/>
    <w:rsid w:val="00D618D5"/>
    <w:rsid w:val="00D621F7"/>
    <w:rsid w:val="00D77B8E"/>
    <w:rsid w:val="00D86239"/>
    <w:rsid w:val="00D9017E"/>
    <w:rsid w:val="00D96166"/>
    <w:rsid w:val="00DA1B11"/>
    <w:rsid w:val="00DA651F"/>
    <w:rsid w:val="00DB0A4E"/>
    <w:rsid w:val="00DB7EF9"/>
    <w:rsid w:val="00DC0FD4"/>
    <w:rsid w:val="00DC4E18"/>
    <w:rsid w:val="00DD04D6"/>
    <w:rsid w:val="00DE43D4"/>
    <w:rsid w:val="00DE528F"/>
    <w:rsid w:val="00DE72D8"/>
    <w:rsid w:val="00E05841"/>
    <w:rsid w:val="00E10128"/>
    <w:rsid w:val="00E203AA"/>
    <w:rsid w:val="00E22CD7"/>
    <w:rsid w:val="00E2371D"/>
    <w:rsid w:val="00E34D03"/>
    <w:rsid w:val="00E3759F"/>
    <w:rsid w:val="00E4407E"/>
    <w:rsid w:val="00E53606"/>
    <w:rsid w:val="00E617AB"/>
    <w:rsid w:val="00E61D0B"/>
    <w:rsid w:val="00E755F3"/>
    <w:rsid w:val="00E77724"/>
    <w:rsid w:val="00E8610D"/>
    <w:rsid w:val="00EA4B91"/>
    <w:rsid w:val="00EC0FBF"/>
    <w:rsid w:val="00ED0227"/>
    <w:rsid w:val="00EE7442"/>
    <w:rsid w:val="00EF1401"/>
    <w:rsid w:val="00F02C01"/>
    <w:rsid w:val="00F0733E"/>
    <w:rsid w:val="00F27541"/>
    <w:rsid w:val="00F30CF5"/>
    <w:rsid w:val="00F45C31"/>
    <w:rsid w:val="00F5056A"/>
    <w:rsid w:val="00F80FFF"/>
    <w:rsid w:val="00F9670C"/>
    <w:rsid w:val="00FA497D"/>
    <w:rsid w:val="00FB19CA"/>
    <w:rsid w:val="00FB63DD"/>
    <w:rsid w:val="00FB757C"/>
    <w:rsid w:val="00FD35D5"/>
    <w:rsid w:val="00FD425A"/>
    <w:rsid w:val="00FE4CEA"/>
    <w:rsid w:val="00FE4E53"/>
    <w:rsid w:val="00FF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55EFD328"/>
  <w14:defaultImageDpi w14:val="0"/>
  <w15:docId w15:val="{229C67B5-6016-4423-A74A-E04F11A1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jc w:val="center"/>
    </w:pPr>
  </w:style>
  <w:style w:type="paragraph" w:customStyle="1" w:styleId="Style2">
    <w:name w:val="Style2"/>
    <w:basedOn w:val="Normal"/>
    <w:uiPriority w:val="99"/>
    <w:pPr>
      <w:spacing w:line="276" w:lineRule="exact"/>
      <w:jc w:val="center"/>
    </w:pPr>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277" w:lineRule="exact"/>
      <w:jc w:val="both"/>
    </w:pPr>
  </w:style>
  <w:style w:type="paragraph" w:customStyle="1" w:styleId="Style6">
    <w:name w:val="Style6"/>
    <w:basedOn w:val="Normal"/>
    <w:uiPriority w:val="99"/>
  </w:style>
  <w:style w:type="paragraph" w:customStyle="1" w:styleId="Style7">
    <w:name w:val="Style7"/>
    <w:basedOn w:val="Normal"/>
    <w:uiPriority w:val="99"/>
  </w:style>
  <w:style w:type="character" w:customStyle="1" w:styleId="FontStyle11">
    <w:name w:val="Font Style11"/>
    <w:basedOn w:val="DefaultParagraphFont"/>
    <w:uiPriority w:val="99"/>
    <w:rPr>
      <w:rFonts w:ascii="Times New Roman" w:hAnsi="Times New Roman" w:cs="Times New Roman"/>
      <w:sz w:val="22"/>
      <w:szCs w:val="22"/>
    </w:rPr>
  </w:style>
  <w:style w:type="character" w:customStyle="1" w:styleId="FontStyle12">
    <w:name w:val="Font Style12"/>
    <w:basedOn w:val="DefaultParagraphFont"/>
    <w:uiPriority w:val="99"/>
    <w:rPr>
      <w:rFonts w:ascii="Times New Roman" w:hAnsi="Times New Roman" w:cs="Times New Roman"/>
      <w:b/>
      <w:bCs/>
      <w:sz w:val="22"/>
      <w:szCs w:val="22"/>
    </w:rPr>
  </w:style>
  <w:style w:type="character" w:customStyle="1" w:styleId="FontStyle13">
    <w:name w:val="Font Style13"/>
    <w:basedOn w:val="DefaultParagraphFont"/>
    <w:uiPriority w:val="99"/>
    <w:rPr>
      <w:rFonts w:ascii="Times New Roman" w:hAnsi="Times New Roman" w:cs="Times New Roman"/>
      <w:sz w:val="16"/>
      <w:szCs w:val="16"/>
    </w:rPr>
  </w:style>
  <w:style w:type="paragraph" w:styleId="Header">
    <w:name w:val="header"/>
    <w:basedOn w:val="Normal"/>
    <w:link w:val="HeaderChar"/>
    <w:uiPriority w:val="99"/>
    <w:unhideWhenUsed/>
    <w:rsid w:val="00F9670C"/>
    <w:pPr>
      <w:tabs>
        <w:tab w:val="center" w:pos="4680"/>
        <w:tab w:val="right" w:pos="9360"/>
      </w:tabs>
    </w:pPr>
  </w:style>
  <w:style w:type="character" w:customStyle="1" w:styleId="HeaderChar">
    <w:name w:val="Header Char"/>
    <w:basedOn w:val="DefaultParagraphFont"/>
    <w:link w:val="Header"/>
    <w:uiPriority w:val="99"/>
    <w:rsid w:val="00F9670C"/>
    <w:rPr>
      <w:rFonts w:hAnsi="Times New Roman" w:cs="Times New Roman"/>
      <w:sz w:val="24"/>
      <w:szCs w:val="24"/>
    </w:rPr>
  </w:style>
  <w:style w:type="paragraph" w:styleId="Footer">
    <w:name w:val="footer"/>
    <w:basedOn w:val="Normal"/>
    <w:link w:val="FooterChar"/>
    <w:uiPriority w:val="99"/>
    <w:unhideWhenUsed/>
    <w:rsid w:val="00F9670C"/>
    <w:pPr>
      <w:tabs>
        <w:tab w:val="center" w:pos="4680"/>
        <w:tab w:val="right" w:pos="9360"/>
      </w:tabs>
    </w:pPr>
  </w:style>
  <w:style w:type="character" w:customStyle="1" w:styleId="FooterChar">
    <w:name w:val="Footer Char"/>
    <w:basedOn w:val="DefaultParagraphFont"/>
    <w:link w:val="Footer"/>
    <w:uiPriority w:val="99"/>
    <w:rsid w:val="00F9670C"/>
    <w:rPr>
      <w:rFonts w:hAnsi="Times New Roman" w:cs="Times New Roman"/>
      <w:sz w:val="24"/>
      <w:szCs w:val="24"/>
    </w:rPr>
  </w:style>
  <w:style w:type="paragraph" w:customStyle="1" w:styleId="Subject">
    <w:name w:val="Subject"/>
    <w:basedOn w:val="Normal"/>
    <w:next w:val="Normal"/>
    <w:rsid w:val="00650EDD"/>
    <w:pPr>
      <w:widowControl/>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autoSpaceDN/>
      <w:adjustRightInd/>
      <w:spacing w:after="480"/>
      <w:ind w:left="1191" w:hanging="1191"/>
    </w:pPr>
    <w:rPr>
      <w:rFonts w:eastAsia="Calibri"/>
      <w:b/>
      <w:szCs w:val="20"/>
      <w:lang w:val="en-GB" w:eastAsia="en-GB"/>
    </w:rPr>
  </w:style>
  <w:style w:type="paragraph" w:styleId="ListParagraph">
    <w:name w:val="List Paragraph"/>
    <w:basedOn w:val="Normal"/>
    <w:uiPriority w:val="34"/>
    <w:qFormat/>
    <w:rsid w:val="00567DD8"/>
    <w:pPr>
      <w:ind w:left="720"/>
      <w:contextualSpacing/>
    </w:pPr>
  </w:style>
  <w:style w:type="paragraph" w:styleId="BalloonText">
    <w:name w:val="Balloon Text"/>
    <w:basedOn w:val="Normal"/>
    <w:link w:val="BalloonTextChar"/>
    <w:uiPriority w:val="99"/>
    <w:semiHidden/>
    <w:unhideWhenUsed/>
    <w:rsid w:val="00C703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376"/>
    <w:rPr>
      <w:rFonts w:ascii="Segoe UI" w:hAnsi="Segoe UI" w:cs="Segoe UI"/>
      <w:sz w:val="18"/>
      <w:szCs w:val="18"/>
    </w:rPr>
  </w:style>
  <w:style w:type="character" w:styleId="Strong">
    <w:name w:val="Strong"/>
    <w:qFormat/>
    <w:rsid w:val="00453384"/>
    <w:rPr>
      <w:b/>
    </w:rPr>
  </w:style>
  <w:style w:type="character" w:styleId="Emphasis">
    <w:name w:val="Emphasis"/>
    <w:qFormat/>
    <w:rsid w:val="00956C7D"/>
    <w:rPr>
      <w:i/>
    </w:rPr>
  </w:style>
  <w:style w:type="character" w:styleId="CommentReference">
    <w:name w:val="annotation reference"/>
    <w:basedOn w:val="DefaultParagraphFont"/>
    <w:uiPriority w:val="99"/>
    <w:semiHidden/>
    <w:unhideWhenUsed/>
    <w:rsid w:val="00035033"/>
    <w:rPr>
      <w:sz w:val="16"/>
      <w:szCs w:val="16"/>
    </w:rPr>
  </w:style>
  <w:style w:type="paragraph" w:styleId="CommentText">
    <w:name w:val="annotation text"/>
    <w:basedOn w:val="Normal"/>
    <w:link w:val="CommentTextChar"/>
    <w:uiPriority w:val="99"/>
    <w:unhideWhenUsed/>
    <w:rsid w:val="00035033"/>
    <w:rPr>
      <w:sz w:val="20"/>
      <w:szCs w:val="20"/>
    </w:rPr>
  </w:style>
  <w:style w:type="character" w:customStyle="1" w:styleId="CommentTextChar">
    <w:name w:val="Comment Text Char"/>
    <w:basedOn w:val="DefaultParagraphFont"/>
    <w:link w:val="CommentText"/>
    <w:uiPriority w:val="99"/>
    <w:rsid w:val="00035033"/>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5033"/>
    <w:rPr>
      <w:b/>
      <w:bCs/>
    </w:rPr>
  </w:style>
  <w:style w:type="character" w:customStyle="1" w:styleId="CommentSubjectChar">
    <w:name w:val="Comment Subject Char"/>
    <w:basedOn w:val="CommentTextChar"/>
    <w:link w:val="CommentSubject"/>
    <w:uiPriority w:val="99"/>
    <w:semiHidden/>
    <w:rsid w:val="00035033"/>
    <w:rPr>
      <w:rFonts w:hAnsi="Times New Roman" w:cs="Times New Roman"/>
      <w:b/>
      <w:bCs/>
      <w:sz w:val="20"/>
      <w:szCs w:val="20"/>
    </w:rPr>
  </w:style>
  <w:style w:type="paragraph" w:styleId="BodyText">
    <w:name w:val="Body Text"/>
    <w:basedOn w:val="Normal"/>
    <w:link w:val="BodyTextChar"/>
    <w:uiPriority w:val="1"/>
    <w:qFormat/>
    <w:rsid w:val="00D53254"/>
    <w:pPr>
      <w:adjustRightInd/>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D53254"/>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8955">
      <w:bodyDiv w:val="1"/>
      <w:marLeft w:val="0"/>
      <w:marRight w:val="0"/>
      <w:marTop w:val="0"/>
      <w:marBottom w:val="0"/>
      <w:divBdr>
        <w:top w:val="none" w:sz="0" w:space="0" w:color="auto"/>
        <w:left w:val="none" w:sz="0" w:space="0" w:color="auto"/>
        <w:bottom w:val="none" w:sz="0" w:space="0" w:color="auto"/>
        <w:right w:val="none" w:sz="0" w:space="0" w:color="auto"/>
      </w:divBdr>
    </w:div>
    <w:div w:id="732047003">
      <w:bodyDiv w:val="1"/>
      <w:marLeft w:val="0"/>
      <w:marRight w:val="0"/>
      <w:marTop w:val="0"/>
      <w:marBottom w:val="0"/>
      <w:divBdr>
        <w:top w:val="none" w:sz="0" w:space="0" w:color="auto"/>
        <w:left w:val="none" w:sz="0" w:space="0" w:color="auto"/>
        <w:bottom w:val="none" w:sz="0" w:space="0" w:color="auto"/>
        <w:right w:val="none" w:sz="0" w:space="0" w:color="auto"/>
      </w:divBdr>
    </w:div>
    <w:div w:id="964307640">
      <w:bodyDiv w:val="1"/>
      <w:marLeft w:val="0"/>
      <w:marRight w:val="0"/>
      <w:marTop w:val="0"/>
      <w:marBottom w:val="0"/>
      <w:divBdr>
        <w:top w:val="none" w:sz="0" w:space="0" w:color="auto"/>
        <w:left w:val="none" w:sz="0" w:space="0" w:color="auto"/>
        <w:bottom w:val="none" w:sz="0" w:space="0" w:color="auto"/>
        <w:right w:val="none" w:sz="0" w:space="0" w:color="auto"/>
      </w:divBdr>
    </w:div>
    <w:div w:id="18880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2939</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Vasic</dc:creator>
  <cp:lastModifiedBy>Nevena Manic</cp:lastModifiedBy>
  <cp:revision>2</cp:revision>
  <cp:lastPrinted>2019-02-12T12:57:00Z</cp:lastPrinted>
  <dcterms:created xsi:type="dcterms:W3CDTF">2019-02-14T13:57:00Z</dcterms:created>
  <dcterms:modified xsi:type="dcterms:W3CDTF">2019-02-14T13:57:00Z</dcterms:modified>
</cp:coreProperties>
</file>