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4F0B92FA" w:rsidR="006F5FD0" w:rsidRPr="00571687" w:rsidRDefault="006F5FD0" w:rsidP="00576EFD">
      <w:pPr>
        <w:rPr>
          <w:sz w:val="20"/>
          <w:lang w:val="en-GB"/>
        </w:rPr>
      </w:pPr>
      <w:r w:rsidRPr="00571687">
        <w:rPr>
          <w:sz w:val="20"/>
          <w:lang w:val="en-GB"/>
        </w:rPr>
        <w:br/>
      </w:r>
    </w:p>
    <w:p w14:paraId="107B0A49" w14:textId="4FC837A5" w:rsidR="00EF74CF" w:rsidRPr="00B403D6" w:rsidRDefault="00C03806" w:rsidP="00576EFD">
      <w:pPr>
        <w:jc w:val="center"/>
        <w:rPr>
          <w:b/>
          <w:sz w:val="28"/>
          <w:szCs w:val="28"/>
          <w:lang w:val="en-GB"/>
        </w:rPr>
      </w:pPr>
      <w:r>
        <w:rPr>
          <w:b/>
          <w:sz w:val="28"/>
          <w:szCs w:val="28"/>
          <w:lang w:val="en-GB"/>
        </w:rPr>
        <w:t xml:space="preserve">CONTRACT </w:t>
      </w:r>
      <w:r w:rsidR="006F5FD0" w:rsidRPr="00571687">
        <w:rPr>
          <w:b/>
          <w:sz w:val="28"/>
          <w:szCs w:val="28"/>
          <w:lang w:val="en-GB"/>
        </w:rPr>
        <w:t>NOTICE</w:t>
      </w:r>
    </w:p>
    <w:p w14:paraId="4D025709" w14:textId="388F2961" w:rsidR="00576EFD" w:rsidRDefault="00DB35A9" w:rsidP="00576EFD">
      <w:pPr>
        <w:spacing w:before="120" w:after="240"/>
        <w:jc w:val="center"/>
        <w:rPr>
          <w:sz w:val="22"/>
          <w:szCs w:val="22"/>
          <w:u w:val="single"/>
        </w:rPr>
      </w:pPr>
      <w:r w:rsidRPr="00CB244C">
        <w:rPr>
          <w:b/>
          <w:sz w:val="22"/>
          <w:szCs w:val="22"/>
          <w:u w:val="single"/>
        </w:rPr>
        <w:t>CALL FOR TENDER</w:t>
      </w:r>
      <w:r w:rsidR="00297B55" w:rsidRPr="00CB244C">
        <w:rPr>
          <w:b/>
          <w:sz w:val="22"/>
          <w:szCs w:val="22"/>
          <w:u w:val="single"/>
        </w:rPr>
        <w:t>: GENERAL INFORMATION</w:t>
      </w:r>
    </w:p>
    <w:p w14:paraId="36AB8A11" w14:textId="77777777" w:rsidR="00576EFD" w:rsidRDefault="00B513FE" w:rsidP="00576EFD">
      <w:pPr>
        <w:spacing w:before="120" w:after="240"/>
        <w:rPr>
          <w:rStyle w:val="Strong"/>
          <w:szCs w:val="24"/>
        </w:rPr>
      </w:pPr>
      <w:r w:rsidRPr="00986E94">
        <w:rPr>
          <w:b/>
          <w:sz w:val="22"/>
          <w:szCs w:val="22"/>
          <w:u w:val="single"/>
        </w:rPr>
        <w:t xml:space="preserve">II.1.1) </w:t>
      </w:r>
      <w:r w:rsidR="00DB35A9" w:rsidRPr="00986E94">
        <w:rPr>
          <w:b/>
          <w:sz w:val="22"/>
          <w:szCs w:val="22"/>
          <w:u w:val="single"/>
        </w:rPr>
        <w:t xml:space="preserve">Information </w:t>
      </w:r>
      <w:r w:rsidRPr="00986E94">
        <w:rPr>
          <w:b/>
          <w:sz w:val="22"/>
          <w:szCs w:val="22"/>
          <w:u w:val="single"/>
        </w:rPr>
        <w:t>Notice Title</w:t>
      </w:r>
      <w:r w:rsidRPr="00986E94">
        <w:rPr>
          <w:b/>
          <w:sz w:val="22"/>
          <w:szCs w:val="22"/>
        </w:rPr>
        <w:t>:</w:t>
      </w:r>
      <w:r w:rsidRPr="004E0A63">
        <w:rPr>
          <w:b/>
          <w:sz w:val="22"/>
          <w:szCs w:val="22"/>
        </w:rPr>
        <w:t xml:space="preserve"> </w:t>
      </w:r>
      <w:r w:rsidR="00576EFD" w:rsidRPr="00AC6D8D">
        <w:rPr>
          <w:rStyle w:val="Strong"/>
          <w:b w:val="0"/>
          <w:szCs w:val="24"/>
        </w:rPr>
        <w:t>Support to improvement of power distribution system and decrease of energy losses</w:t>
      </w:r>
      <w:r w:rsidR="00576EFD" w:rsidRPr="00052BE7">
        <w:rPr>
          <w:rStyle w:val="Strong"/>
          <w:szCs w:val="24"/>
        </w:rPr>
        <w:t xml:space="preserve"> </w:t>
      </w:r>
    </w:p>
    <w:p w14:paraId="0EBE3AE9" w14:textId="77777777" w:rsidR="007958C7" w:rsidRDefault="00B513FE" w:rsidP="007958C7">
      <w:pPr>
        <w:spacing w:before="120" w:after="240"/>
        <w:rPr>
          <w:rStyle w:val="Strong"/>
          <w:b w:val="0"/>
        </w:rPr>
      </w:pPr>
      <w:r w:rsidRPr="00986E94">
        <w:rPr>
          <w:b/>
          <w:sz w:val="22"/>
          <w:szCs w:val="22"/>
          <w:u w:val="single"/>
        </w:rPr>
        <w:t xml:space="preserve">II.1.1) </w:t>
      </w:r>
      <w:r w:rsidR="00DB35A9" w:rsidRPr="00986E94">
        <w:rPr>
          <w:b/>
          <w:sz w:val="22"/>
          <w:szCs w:val="22"/>
          <w:u w:val="single"/>
        </w:rPr>
        <w:t xml:space="preserve">Information </w:t>
      </w:r>
      <w:r w:rsidRPr="00986E94">
        <w:rPr>
          <w:b/>
          <w:sz w:val="22"/>
          <w:szCs w:val="22"/>
          <w:u w:val="single"/>
        </w:rPr>
        <w:t>Notice Reference Number:</w:t>
      </w:r>
      <w:r w:rsidRPr="00581ACC">
        <w:rPr>
          <w:sz w:val="22"/>
          <w:szCs w:val="22"/>
          <w:u w:val="single"/>
        </w:rPr>
        <w:t xml:space="preserve"> </w:t>
      </w:r>
      <w:proofErr w:type="spellStart"/>
      <w:r w:rsidR="00AC6D8D" w:rsidRPr="00F963B3">
        <w:rPr>
          <w:rStyle w:val="Strong"/>
          <w:b w:val="0"/>
        </w:rPr>
        <w:t>EuropeAid</w:t>
      </w:r>
      <w:proofErr w:type="spellEnd"/>
      <w:r w:rsidR="00AC6D8D" w:rsidRPr="00F963B3">
        <w:rPr>
          <w:rStyle w:val="Strong"/>
          <w:b w:val="0"/>
        </w:rPr>
        <w:t>/140909/IH/SER/RS</w:t>
      </w:r>
    </w:p>
    <w:p w14:paraId="2EF9E8FA" w14:textId="32E6B84A" w:rsidR="00EF74CF" w:rsidRPr="00D67F00" w:rsidRDefault="00B513FE" w:rsidP="007958C7">
      <w:pPr>
        <w:spacing w:before="120" w:after="24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II.1.5) Estimated total value</w:t>
      </w:r>
    </w:p>
    <w:p w14:paraId="446B827B" w14:textId="0BEF647E" w:rsidR="00EF74CF" w:rsidRDefault="00EF74CF" w:rsidP="00EF74CF">
      <w:pPr>
        <w:outlineLvl w:val="0"/>
        <w:rPr>
          <w:sz w:val="22"/>
          <w:szCs w:val="22"/>
        </w:rPr>
      </w:pPr>
      <w:r w:rsidRPr="00986E94">
        <w:rPr>
          <w:sz w:val="22"/>
          <w:szCs w:val="22"/>
        </w:rPr>
        <w:t>Value excluding VAT:</w:t>
      </w:r>
      <w:r w:rsidR="00F3539A">
        <w:rPr>
          <w:sz w:val="22"/>
          <w:szCs w:val="22"/>
        </w:rPr>
        <w:t xml:space="preserve"> </w:t>
      </w:r>
      <w:r w:rsidR="004E33E4" w:rsidRPr="004E33E4">
        <w:rPr>
          <w:sz w:val="22"/>
          <w:szCs w:val="22"/>
        </w:rPr>
        <w:t>1</w:t>
      </w:r>
      <w:r w:rsidR="0078358A">
        <w:rPr>
          <w:sz w:val="22"/>
          <w:szCs w:val="22"/>
        </w:rPr>
        <w:t>,</w:t>
      </w:r>
      <w:r w:rsidR="004E33E4" w:rsidRPr="004E33E4">
        <w:rPr>
          <w:sz w:val="22"/>
          <w:szCs w:val="22"/>
        </w:rPr>
        <w:t>500,000</w:t>
      </w:r>
      <w:r w:rsidRPr="00262BEC">
        <w:rPr>
          <w:sz w:val="22"/>
          <w:szCs w:val="22"/>
        </w:rPr>
        <w:t xml:space="preserve">   </w:t>
      </w:r>
      <w:r w:rsidRPr="00986E94">
        <w:rPr>
          <w:sz w:val="22"/>
          <w:szCs w:val="22"/>
        </w:rPr>
        <w:t>Currency:</w:t>
      </w:r>
      <w:r w:rsidRPr="00262BEC">
        <w:rPr>
          <w:sz w:val="22"/>
          <w:szCs w:val="22"/>
        </w:rPr>
        <w:t xml:space="preserve"> </w:t>
      </w:r>
      <w:r w:rsidR="004E33E4">
        <w:rPr>
          <w:sz w:val="22"/>
          <w:szCs w:val="22"/>
        </w:rPr>
        <w:t>EUR</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0C19EDF2" w:rsidR="00DB35A9" w:rsidRPr="003C10AA" w:rsidRDefault="004E33E4" w:rsidP="00DB35A9">
      <w:pPr>
        <w:outlineLvl w:val="0"/>
        <w:rPr>
          <w:rStyle w:val="Strong"/>
          <w:b w:val="0"/>
          <w:sz w:val="22"/>
          <w:szCs w:val="22"/>
          <w:u w:val="single"/>
          <w:lang w:val="en-GB"/>
        </w:rPr>
      </w:pPr>
      <w:r w:rsidRPr="00986E94">
        <w:rPr>
          <w:rStyle w:val="Strong"/>
          <w:b w:val="0"/>
          <w:sz w:val="22"/>
          <w:szCs w:val="22"/>
          <w:u w:val="single"/>
          <w:lang w:val="en-GB"/>
        </w:rPr>
        <w:t>Restricted</w:t>
      </w:r>
      <w:r w:rsidR="00DB35A9">
        <w:rPr>
          <w:rStyle w:val="Strong"/>
          <w:b w:val="0"/>
          <w:sz w:val="22"/>
          <w:szCs w:val="22"/>
          <w:u w:val="single"/>
          <w:lang w:val="en-GB"/>
        </w:rPr>
        <w:br/>
      </w:r>
    </w:p>
    <w:p w14:paraId="2E0C7DE0" w14:textId="0E1C0C75" w:rsidR="00DB35A9" w:rsidRPr="00D67F00" w:rsidRDefault="00DB35A9" w:rsidP="00DB35A9">
      <w:pPr>
        <w:outlineLvl w:val="0"/>
        <w:rPr>
          <w:rStyle w:val="Strong"/>
          <w:sz w:val="22"/>
          <w:szCs w:val="22"/>
          <w:u w:val="single"/>
          <w:lang w:val="en-GB"/>
        </w:rPr>
      </w:pPr>
      <w:r>
        <w:rPr>
          <w:rStyle w:val="Strong"/>
          <w:sz w:val="22"/>
          <w:szCs w:val="22"/>
          <w:u w:val="single"/>
          <w:lang w:val="en-GB"/>
        </w:rPr>
        <w:t xml:space="preserve"> </w:t>
      </w:r>
      <w:r w:rsidRPr="00986E94">
        <w:rPr>
          <w:rStyle w:val="Strong"/>
          <w:sz w:val="22"/>
          <w:szCs w:val="22"/>
          <w:u w:val="single"/>
          <w:lang w:val="en-GB"/>
        </w:rPr>
        <w:t>IV.2.1) Previous publication concerning this procedure</w:t>
      </w:r>
    </w:p>
    <w:p w14:paraId="3045D783" w14:textId="7655E9B7" w:rsidR="00DB35A9" w:rsidRPr="00EF74CF" w:rsidRDefault="00DB35A9" w:rsidP="00DB35A9">
      <w:pPr>
        <w:outlineLvl w:val="0"/>
        <w:rPr>
          <w:rStyle w:val="Strong"/>
          <w:sz w:val="22"/>
          <w:szCs w:val="22"/>
          <w:u w:val="single"/>
          <w:lang w:val="en-GB"/>
        </w:rPr>
      </w:pPr>
      <w:r w:rsidRPr="00986E94">
        <w:rPr>
          <w:rStyle w:val="Strong"/>
          <w:b w:val="0"/>
          <w:sz w:val="22"/>
          <w:szCs w:val="22"/>
          <w:lang w:val="en-GB"/>
        </w:rPr>
        <w:t xml:space="preserve">Notice number in the </w:t>
      </w:r>
      <w:r w:rsidR="00C27CA9">
        <w:rPr>
          <w:rStyle w:val="Strong"/>
          <w:b w:val="0"/>
          <w:sz w:val="22"/>
          <w:szCs w:val="22"/>
          <w:lang w:val="en-GB"/>
        </w:rPr>
        <w:t xml:space="preserve">OJ </w:t>
      </w:r>
      <w:r w:rsidR="000164B1">
        <w:rPr>
          <w:rStyle w:val="Strong"/>
          <w:b w:val="0"/>
          <w:sz w:val="22"/>
          <w:szCs w:val="22"/>
          <w:lang w:val="en-GB"/>
        </w:rPr>
        <w:t>2020/S 144-353114</w:t>
      </w:r>
    </w:p>
    <w:p w14:paraId="2FB0BEEE" w14:textId="6AA21070" w:rsidR="00EF74CF" w:rsidRPr="007C201A" w:rsidRDefault="00B513FE" w:rsidP="00EF74CF">
      <w:pPr>
        <w:outlineLvl w:val="0"/>
        <w:rPr>
          <w:rStyle w:val="Strong"/>
          <w:sz w:val="22"/>
          <w:szCs w:val="22"/>
          <w:highlight w:val="lightGray"/>
          <w:u w:val="single"/>
          <w:lang w:val="en-GB"/>
        </w:rPr>
      </w:pPr>
      <w:r>
        <w:rPr>
          <w:rStyle w:val="Strong"/>
          <w:sz w:val="22"/>
          <w:szCs w:val="22"/>
          <w:highlight w:val="lightGray"/>
          <w:lang w:val="en-GB"/>
        </w:rPr>
        <w:br/>
      </w:r>
      <w:r w:rsidR="00EF74CF" w:rsidRPr="007C201A">
        <w:rPr>
          <w:rStyle w:val="Strong"/>
          <w:sz w:val="22"/>
          <w:szCs w:val="22"/>
          <w:u w:val="single"/>
          <w:lang w:val="en-GB"/>
        </w:rPr>
        <w:t>II.1.6) Information about lots</w:t>
      </w:r>
    </w:p>
    <w:p w14:paraId="10494B48" w14:textId="497CCC27" w:rsidR="00D35B9C" w:rsidRPr="00D35B9C" w:rsidRDefault="00EF74CF" w:rsidP="00B62C92">
      <w:pPr>
        <w:outlineLvl w:val="0"/>
        <w:rPr>
          <w:b/>
          <w:sz w:val="22"/>
          <w:szCs w:val="22"/>
          <w:u w:val="single"/>
        </w:rPr>
      </w:pPr>
      <w:r w:rsidRPr="007C201A">
        <w:rPr>
          <w:rStyle w:val="Strong"/>
          <w:b w:val="0"/>
          <w:sz w:val="22"/>
          <w:szCs w:val="22"/>
          <w:lang w:val="en-GB"/>
        </w:rPr>
        <w:t xml:space="preserve">This contract is divided into </w:t>
      </w:r>
      <w:r w:rsidRPr="00986E94">
        <w:rPr>
          <w:rStyle w:val="Strong"/>
          <w:b w:val="0"/>
          <w:sz w:val="22"/>
          <w:szCs w:val="22"/>
          <w:lang w:val="en-GB"/>
        </w:rPr>
        <w:t>lots:</w:t>
      </w:r>
      <w:r w:rsidR="004E33E4" w:rsidRPr="00986E94">
        <w:rPr>
          <w:rStyle w:val="Strong"/>
          <w:b w:val="0"/>
          <w:sz w:val="22"/>
          <w:szCs w:val="22"/>
          <w:lang w:val="en-GB"/>
        </w:rPr>
        <w:t xml:space="preserve"> </w:t>
      </w:r>
      <w:r w:rsidRPr="00986E94">
        <w:rPr>
          <w:rStyle w:val="Strong"/>
          <w:b w:val="0"/>
          <w:sz w:val="22"/>
          <w:szCs w:val="22"/>
          <w:lang w:val="en-GB"/>
        </w:rPr>
        <w:t>no</w:t>
      </w:r>
      <w:r>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24012381" w14:textId="78F43F8E" w:rsidR="00D35B9C" w:rsidRDefault="00EF74CF" w:rsidP="00D35B9C">
      <w:pPr>
        <w:outlineLvl w:val="0"/>
        <w:rPr>
          <w:rStyle w:val="Strong"/>
          <w:sz w:val="22"/>
          <w:szCs w:val="22"/>
          <w:u w:val="single"/>
        </w:rPr>
      </w:pPr>
      <w:r w:rsidRPr="00D67F00">
        <w:rPr>
          <w:rStyle w:val="Strong"/>
          <w:sz w:val="22"/>
          <w:szCs w:val="22"/>
          <w:u w:val="single"/>
        </w:rPr>
        <w:t>II.2) Description</w:t>
      </w:r>
    </w:p>
    <w:p w14:paraId="59606782" w14:textId="77777777" w:rsidR="000B464E" w:rsidRDefault="00D35B9C" w:rsidP="00460907">
      <w:pPr>
        <w:jc w:val="both"/>
        <w:outlineLvl w:val="0"/>
        <w:rPr>
          <w:sz w:val="22"/>
          <w:szCs w:val="22"/>
        </w:rPr>
      </w:pPr>
      <w:r>
        <w:rPr>
          <w:sz w:val="22"/>
          <w:szCs w:val="22"/>
          <w:lang w:val="en-GB"/>
        </w:rPr>
        <w:t>The purpose of the project is to enhance power distribution system regarding control, maintenance and planning and by transferring best world’s practice, knowledge and providing adequate power system software. The purposes of this contract are to s</w:t>
      </w:r>
      <w:r>
        <w:rPr>
          <w:rFonts w:eastAsia="Calibri"/>
          <w:sz w:val="22"/>
          <w:szCs w:val="22"/>
          <w:lang w:val="en-GB"/>
        </w:rPr>
        <w:t xml:space="preserve">upport improvement of power distribution system, decrease of energy losses and preparation of </w:t>
      </w:r>
      <w:r>
        <w:rPr>
          <w:sz w:val="22"/>
          <w:szCs w:val="22"/>
        </w:rPr>
        <w:t>a guideline for decisions for investments in the distribution network with the aim to provide reliable and secure operation of network to meet demands and integration of new distributed generation and promotion of renewable sources.</w:t>
      </w:r>
    </w:p>
    <w:p w14:paraId="1CFB730C" w14:textId="09661463" w:rsidR="00EF74CF" w:rsidRPr="00FC32D3" w:rsidRDefault="00D67F00" w:rsidP="00460907">
      <w:pPr>
        <w:jc w:val="both"/>
        <w:outlineLvl w:val="0"/>
        <w:rPr>
          <w:rStyle w:val="Emphasis"/>
          <w:b/>
          <w:i w:val="0"/>
          <w:sz w:val="22"/>
          <w:szCs w:val="22"/>
        </w:rPr>
      </w:pPr>
      <w:r>
        <w:rPr>
          <w:rStyle w:val="Strong"/>
          <w:sz w:val="22"/>
          <w:szCs w:val="22"/>
          <w:u w:val="single"/>
        </w:rPr>
        <w:br/>
      </w:r>
    </w:p>
    <w:p w14:paraId="387F8F80" w14:textId="4A998A16" w:rsidR="00DB35A9" w:rsidRPr="00FC32D3" w:rsidRDefault="00DB35A9" w:rsidP="006C22AA">
      <w:pPr>
        <w:tabs>
          <w:tab w:val="left" w:pos="7950"/>
        </w:tabs>
        <w:outlineLvl w:val="0"/>
        <w:rPr>
          <w:rStyle w:val="Strong"/>
          <w:sz w:val="22"/>
          <w:szCs w:val="22"/>
          <w:lang w:val="en-GB"/>
        </w:rPr>
      </w:pPr>
      <w:r w:rsidRPr="00FC32D3">
        <w:rPr>
          <w:rStyle w:val="Strong"/>
          <w:sz w:val="22"/>
          <w:szCs w:val="22"/>
          <w:lang w:val="en-GB"/>
        </w:rPr>
        <w:t>II.1.3) Type of contract</w:t>
      </w:r>
      <w:r w:rsidR="004D3975" w:rsidRPr="00FC32D3">
        <w:rPr>
          <w:rStyle w:val="Strong"/>
          <w:sz w:val="22"/>
          <w:szCs w:val="22"/>
          <w:lang w:val="en-GB"/>
        </w:rPr>
        <w:tab/>
      </w:r>
    </w:p>
    <w:p w14:paraId="33D25BDB" w14:textId="3438AF69" w:rsidR="003C7944" w:rsidRDefault="00DB35A9" w:rsidP="003C7944">
      <w:pPr>
        <w:pStyle w:val="Blockquote"/>
        <w:ind w:left="0"/>
        <w:jc w:val="both"/>
        <w:rPr>
          <w:rStyle w:val="Emphasis"/>
          <w:i w:val="0"/>
          <w:sz w:val="22"/>
          <w:szCs w:val="22"/>
          <w:lang w:val="en-GB"/>
        </w:rPr>
      </w:pPr>
      <w:r w:rsidRPr="00986E94">
        <w:rPr>
          <w:rStyle w:val="Emphasis"/>
          <w:i w:val="0"/>
          <w:sz w:val="22"/>
          <w:szCs w:val="22"/>
          <w:lang w:val="en-GB"/>
        </w:rPr>
        <w:t>Service</w:t>
      </w:r>
      <w:r w:rsidR="00BF785F" w:rsidRPr="00986E94">
        <w:rPr>
          <w:rStyle w:val="Emphasis"/>
          <w:i w:val="0"/>
          <w:sz w:val="22"/>
          <w:szCs w:val="22"/>
          <w:lang w:val="en-GB"/>
        </w:rPr>
        <w:t>s</w:t>
      </w:r>
    </w:p>
    <w:p w14:paraId="7579633B" w14:textId="281ABE4C" w:rsidR="00EF74CF" w:rsidRPr="003C7944" w:rsidRDefault="00EF74CF" w:rsidP="003C7944">
      <w:pPr>
        <w:pStyle w:val="Blockquote"/>
        <w:ind w:left="0"/>
        <w:jc w:val="both"/>
        <w:rPr>
          <w:rStyle w:val="Strong"/>
          <w:b w:val="0"/>
          <w:i/>
          <w:sz w:val="22"/>
          <w:szCs w:val="22"/>
          <w:lang w:val="en-GB"/>
        </w:rPr>
      </w:pPr>
      <w:r>
        <w:rPr>
          <w:rStyle w:val="Strong"/>
          <w:sz w:val="22"/>
          <w:szCs w:val="22"/>
        </w:rPr>
        <w:lastRenderedPageBreak/>
        <w:br/>
      </w:r>
      <w:r w:rsidRPr="00D67F00">
        <w:rPr>
          <w:rStyle w:val="Strong"/>
          <w:sz w:val="22"/>
          <w:szCs w:val="22"/>
          <w:u w:val="single"/>
        </w:rPr>
        <w:t>II.2.3) Place performance</w:t>
      </w:r>
    </w:p>
    <w:p w14:paraId="1F2F8123" w14:textId="77777777" w:rsidR="00A1137E" w:rsidRPr="00881453" w:rsidRDefault="00CC6D8C" w:rsidP="00A1137E">
      <w:pPr>
        <w:autoSpaceDE w:val="0"/>
        <w:autoSpaceDN w:val="0"/>
        <w:adjustRightInd w:val="0"/>
        <w:rPr>
          <w:color w:val="00000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A1137E" w:rsidRPr="00881453">
        <w:rPr>
          <w:color w:val="000000"/>
          <w:sz w:val="22"/>
          <w:szCs w:val="22"/>
          <w:lang w:val="en-GB"/>
        </w:rPr>
        <w:t>The Republic of Serbia.</w:t>
      </w:r>
    </w:p>
    <w:p w14:paraId="2D426A80" w14:textId="33CA40EA" w:rsidR="00EF74CF" w:rsidRPr="00DA66CB" w:rsidRDefault="003C10AA" w:rsidP="00EF74CF">
      <w:pPr>
        <w:outlineLvl w:val="0"/>
        <w:rPr>
          <w:b/>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II.2.5)  Award Criteria</w:t>
      </w:r>
      <w:r w:rsidR="00EF74CF" w:rsidRPr="00516F45">
        <w:rPr>
          <w:rStyle w:val="Strong"/>
          <w:b w:val="0"/>
          <w:sz w:val="22"/>
          <w:szCs w:val="22"/>
          <w:highlight w:val="lightGray"/>
          <w:lang w:val="en-GB"/>
        </w:rPr>
        <w:br/>
      </w:r>
      <w:r w:rsidR="00EF74CF" w:rsidRPr="00516F45">
        <w:rPr>
          <w:rStyle w:val="Strong"/>
          <w:b w:val="0"/>
          <w:sz w:val="22"/>
          <w:szCs w:val="22"/>
          <w:highlight w:val="lightGray"/>
          <w:lang w:val="en-GB"/>
        </w:rPr>
        <w:br/>
      </w:r>
      <w:r w:rsidR="00EF74CF" w:rsidRPr="00C071C4">
        <w:rPr>
          <w:sz w:val="22"/>
          <w:szCs w:val="22"/>
        </w:rPr>
        <w:t>Price is not the only award criterion and all criteria are stated only in the procurement documents</w:t>
      </w:r>
    </w:p>
    <w:p w14:paraId="41C0250D" w14:textId="77777777"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14:paraId="035A4BBA" w14:textId="449FBA4C"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t>
      </w:r>
    </w:p>
    <w:p w14:paraId="3A17D68B" w14:textId="68A9C02E" w:rsidR="00EF74CF" w:rsidRPr="00EF74CF" w:rsidRDefault="00EF74CF" w:rsidP="00EF74CF">
      <w:pPr>
        <w:jc w:val="both"/>
        <w:outlineLvl w:val="0"/>
        <w:rPr>
          <w:rStyle w:val="Strong"/>
          <w:b w:val="0"/>
          <w:sz w:val="22"/>
          <w:szCs w:val="22"/>
          <w:lang w:val="en-GB"/>
        </w:rPr>
      </w:pPr>
      <w:r w:rsidRPr="00EF74CF">
        <w:rPr>
          <w:rStyle w:val="Strong"/>
          <w:b w:val="0"/>
          <w:sz w:val="22"/>
          <w:szCs w:val="22"/>
          <w:lang w:val="en-GB"/>
        </w:rPr>
        <w:t>Subsequent to the initial contract resulting from the current tender procedure, new services consisting in the repetition of similar services</w:t>
      </w:r>
      <w:r w:rsidR="00C93301">
        <w:rPr>
          <w:rStyle w:val="Strong"/>
          <w:b w:val="0"/>
          <w:sz w:val="22"/>
          <w:szCs w:val="22"/>
          <w:lang w:val="en-GB"/>
        </w:rPr>
        <w:t>, up to the estimated amount of 1</w:t>
      </w:r>
      <w:r w:rsidR="00445BA6">
        <w:rPr>
          <w:rStyle w:val="Strong"/>
          <w:b w:val="0"/>
          <w:sz w:val="22"/>
          <w:szCs w:val="22"/>
          <w:lang w:val="en-GB"/>
        </w:rPr>
        <w:t>,</w:t>
      </w:r>
      <w:r w:rsidR="00C93301">
        <w:rPr>
          <w:rStyle w:val="Strong"/>
          <w:b w:val="0"/>
          <w:sz w:val="22"/>
          <w:szCs w:val="22"/>
          <w:lang w:val="en-GB"/>
        </w:rPr>
        <w:t>500</w:t>
      </w:r>
      <w:r w:rsidR="00445BA6">
        <w:rPr>
          <w:rStyle w:val="Strong"/>
          <w:b w:val="0"/>
          <w:sz w:val="22"/>
          <w:szCs w:val="22"/>
          <w:lang w:val="en-GB"/>
        </w:rPr>
        <w:t>,</w:t>
      </w:r>
      <w:r w:rsidR="00C93301">
        <w:rPr>
          <w:rStyle w:val="Strong"/>
          <w:b w:val="0"/>
          <w:sz w:val="22"/>
          <w:szCs w:val="22"/>
          <w:lang w:val="en-GB"/>
        </w:rPr>
        <w:t>000</w:t>
      </w:r>
      <w:r w:rsidR="00445BA6">
        <w:rPr>
          <w:rStyle w:val="Strong"/>
          <w:b w:val="0"/>
          <w:sz w:val="22"/>
          <w:szCs w:val="22"/>
          <w:lang w:val="en-GB"/>
        </w:rPr>
        <w:t>.</w:t>
      </w:r>
      <w:r w:rsidR="00C93301">
        <w:rPr>
          <w:rStyle w:val="Strong"/>
          <w:b w:val="0"/>
          <w:sz w:val="22"/>
          <w:szCs w:val="22"/>
          <w:lang w:val="en-GB"/>
        </w:rPr>
        <w:t>00 EUR</w:t>
      </w:r>
      <w:r w:rsidRPr="00EF74CF">
        <w:rPr>
          <w:rStyle w:val="Strong"/>
          <w:b w:val="0"/>
          <w:sz w:val="22"/>
          <w:szCs w:val="22"/>
          <w:lang w:val="en-GB"/>
        </w:rPr>
        <w:t xml:space="preserve"> may be entrusted to the initial contractor by negotiated procedure without prior publication of a contract notice, provided the new services are in conformity with the same basic project.</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60BE9DC0" w:rsidR="00CC6D8C" w:rsidRPr="00F82AA4" w:rsidRDefault="00CC6D8C" w:rsidP="00CC6D8C">
      <w:pPr>
        <w:outlineLvl w:val="0"/>
        <w:rPr>
          <w:rStyle w:val="Strong"/>
          <w:b w:val="0"/>
          <w:sz w:val="22"/>
          <w:szCs w:val="22"/>
          <w:lang w:val="en-GB"/>
        </w:rPr>
      </w:pPr>
      <w:r w:rsidRPr="0040180D">
        <w:rPr>
          <w:rStyle w:val="Strong"/>
          <w:b w:val="0"/>
          <w:sz w:val="22"/>
          <w:szCs w:val="22"/>
          <w:lang w:val="en-GB"/>
        </w:rPr>
        <w:t xml:space="preserve">Date: </w:t>
      </w:r>
      <w:r w:rsidR="00E95FE8">
        <w:rPr>
          <w:rStyle w:val="Strong"/>
          <w:b w:val="0"/>
          <w:sz w:val="22"/>
          <w:szCs w:val="22"/>
          <w:lang w:val="en-GB"/>
        </w:rPr>
        <w:t>10</w:t>
      </w:r>
      <w:r w:rsidR="00C93301" w:rsidRPr="0040180D">
        <w:rPr>
          <w:rStyle w:val="Strong"/>
          <w:b w:val="0"/>
          <w:sz w:val="22"/>
          <w:szCs w:val="22"/>
          <w:lang w:val="en-GB"/>
        </w:rPr>
        <w:t>.</w:t>
      </w:r>
      <w:r w:rsidR="00E95FE8">
        <w:rPr>
          <w:rStyle w:val="Strong"/>
          <w:b w:val="0"/>
          <w:sz w:val="22"/>
          <w:szCs w:val="22"/>
          <w:lang w:val="en-GB"/>
        </w:rPr>
        <w:t>02</w:t>
      </w:r>
      <w:r w:rsidR="00C93301" w:rsidRPr="0040180D">
        <w:rPr>
          <w:rStyle w:val="Strong"/>
          <w:b w:val="0"/>
          <w:sz w:val="22"/>
          <w:szCs w:val="22"/>
          <w:lang w:val="en-GB"/>
        </w:rPr>
        <w:t>.20</w:t>
      </w:r>
      <w:r w:rsidR="001B3955" w:rsidRPr="0040180D">
        <w:rPr>
          <w:rStyle w:val="Strong"/>
          <w:b w:val="0"/>
          <w:sz w:val="22"/>
          <w:szCs w:val="22"/>
          <w:lang w:val="en-GB"/>
        </w:rPr>
        <w:t>21</w:t>
      </w:r>
      <w:r w:rsidRPr="0040180D">
        <w:rPr>
          <w:rStyle w:val="Strong"/>
          <w:b w:val="0"/>
          <w:sz w:val="22"/>
          <w:szCs w:val="22"/>
          <w:lang w:val="en-GB"/>
        </w:rPr>
        <w:br/>
        <w:t xml:space="preserve">Local Time: </w:t>
      </w:r>
      <w:r w:rsidR="00C93301" w:rsidRPr="0040180D">
        <w:rPr>
          <w:rStyle w:val="Strong"/>
          <w:b w:val="0"/>
          <w:sz w:val="22"/>
          <w:szCs w:val="22"/>
          <w:lang w:val="en-GB"/>
        </w:rPr>
        <w:t>15</w:t>
      </w:r>
      <w:r w:rsidR="009C0754" w:rsidRPr="0040180D">
        <w:rPr>
          <w:rStyle w:val="Strong"/>
          <w:b w:val="0"/>
          <w:sz w:val="22"/>
          <w:szCs w:val="22"/>
          <w:lang w:val="en-GB"/>
        </w:rPr>
        <w:t>:</w:t>
      </w:r>
      <w:r w:rsidR="00C93301" w:rsidRPr="0040180D">
        <w:rPr>
          <w:rStyle w:val="Strong"/>
          <w:b w:val="0"/>
          <w:sz w:val="22"/>
          <w:szCs w:val="22"/>
          <w:lang w:val="en-GB"/>
        </w:rPr>
        <w:t>00</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bookmarkStart w:id="0" w:name="_GoBack"/>
      <w:bookmarkEnd w:id="0"/>
    </w:p>
    <w:p w14:paraId="1368B8E1" w14:textId="1053E6D9" w:rsidR="00CC6D8C" w:rsidRDefault="00C93301" w:rsidP="00CC6D8C">
      <w:pPr>
        <w:outlineLvl w:val="0"/>
        <w:rPr>
          <w:rStyle w:val="Strong"/>
          <w:b w:val="0"/>
          <w:sz w:val="22"/>
          <w:szCs w:val="22"/>
          <w:lang w:val="en-GB"/>
        </w:rPr>
      </w:pPr>
      <w:r>
        <w:rPr>
          <w:rStyle w:val="Strong"/>
          <w:b w:val="0"/>
          <w:sz w:val="22"/>
          <w:szCs w:val="22"/>
          <w:lang w:val="en-GB"/>
        </w:rPr>
        <w:t xml:space="preserve">Duration in months: </w:t>
      </w:r>
      <w:r w:rsidR="00EF10D8">
        <w:rPr>
          <w:rStyle w:val="Strong"/>
          <w:b w:val="0"/>
          <w:sz w:val="22"/>
          <w:szCs w:val="22"/>
          <w:lang w:val="en-GB"/>
        </w:rPr>
        <w:t>3</w:t>
      </w:r>
      <w:r>
        <w:rPr>
          <w:rStyle w:val="Strong"/>
          <w:b w:val="0"/>
          <w:sz w:val="22"/>
          <w:szCs w:val="22"/>
          <w:lang w:val="en-GB"/>
        </w:rPr>
        <w:t xml:space="preserve"> </w:t>
      </w:r>
      <w:r w:rsidR="00CC6D8C" w:rsidRPr="00F82AA4">
        <w:rPr>
          <w:rStyle w:val="Strong"/>
          <w:b w:val="0"/>
          <w:sz w:val="22"/>
          <w:szCs w:val="22"/>
          <w:lang w:val="en-GB"/>
        </w:rPr>
        <w:t>(from the date stated for receipt of tender</w:t>
      </w:r>
      <w:r w:rsidR="00CC6D8C">
        <w:rPr>
          <w:rStyle w:val="Strong"/>
          <w:b w:val="0"/>
          <w:sz w:val="22"/>
          <w:szCs w:val="22"/>
          <w:lang w:val="en-GB"/>
        </w:rPr>
        <w:t>)</w:t>
      </w:r>
    </w:p>
    <w:p w14:paraId="652D3134" w14:textId="77777777" w:rsidR="003A52C2" w:rsidRPr="00F82AA4" w:rsidRDefault="003A52C2" w:rsidP="00CC6D8C">
      <w:pPr>
        <w:outlineLvl w:val="0"/>
        <w:rPr>
          <w:rStyle w:val="Strong"/>
          <w:b w:val="0"/>
          <w:sz w:val="22"/>
          <w:szCs w:val="22"/>
          <w:lang w:val="en-GB"/>
        </w:rPr>
      </w:pPr>
    </w:p>
    <w:p w14:paraId="252FEA04" w14:textId="77777777" w:rsidR="003A52C2" w:rsidRDefault="003A52C2" w:rsidP="00F963B3">
      <w:pPr>
        <w:outlineLvl w:val="0"/>
        <w:rPr>
          <w:rStyle w:val="Strong"/>
          <w:sz w:val="22"/>
          <w:szCs w:val="22"/>
          <w:u w:val="single"/>
          <w:lang w:val="en-GB"/>
        </w:rPr>
      </w:pPr>
      <w:r w:rsidRPr="007C201A">
        <w:rPr>
          <w:rStyle w:val="Strong"/>
          <w:sz w:val="22"/>
          <w:szCs w:val="22"/>
          <w:u w:val="single"/>
          <w:lang w:val="en-GB"/>
        </w:rPr>
        <w:t>V.2.7) Conditions for opening of tenders</w:t>
      </w:r>
    </w:p>
    <w:p w14:paraId="359F12BD" w14:textId="139C1062" w:rsidR="00CC6D8C" w:rsidRDefault="003A52C2" w:rsidP="00F963B3">
      <w:pPr>
        <w:outlineLvl w:val="0"/>
        <w:rPr>
          <w:rStyle w:val="Strong"/>
          <w:sz w:val="22"/>
          <w:szCs w:val="22"/>
          <w:u w:val="single"/>
          <w:lang w:val="en-GB"/>
        </w:rPr>
      </w:pPr>
      <w:r>
        <w:rPr>
          <w:rStyle w:val="Strong"/>
          <w:sz w:val="22"/>
          <w:szCs w:val="22"/>
          <w:u w:val="single"/>
          <w:lang w:val="en-GB"/>
        </w:rPr>
        <w:t>N/A</w:t>
      </w:r>
      <w:r w:rsidR="00CC6D8C">
        <w:rPr>
          <w:rStyle w:val="Strong"/>
          <w:sz w:val="22"/>
          <w:szCs w:val="22"/>
          <w:u w:val="single"/>
          <w:lang w:val="en-GB"/>
        </w:rPr>
        <w:br/>
      </w:r>
    </w:p>
    <w:p w14:paraId="541025BC" w14:textId="39FC4F09" w:rsidR="00EF74CF" w:rsidRPr="00EF74CF" w:rsidRDefault="003C10AA" w:rsidP="00045773">
      <w:pPr>
        <w:outlineLvl w:val="0"/>
        <w:rPr>
          <w:rStyle w:val="Strong"/>
          <w:sz w:val="22"/>
          <w:szCs w:val="22"/>
          <w:u w:val="single"/>
          <w:lang w:val="en-GB"/>
        </w:rPr>
      </w:pPr>
      <w:r>
        <w:rPr>
          <w:rStyle w:val="Strong"/>
          <w:sz w:val="22"/>
          <w:szCs w:val="22"/>
          <w:u w:val="single"/>
          <w:lang w:val="en-GB"/>
        </w:rPr>
        <w:br/>
      </w:r>
    </w:p>
    <w:p w14:paraId="003EAF07" w14:textId="4CA98DF1" w:rsidR="00F82AA4" w:rsidRDefault="00F82AA4">
      <w:pPr>
        <w:outlineLvl w:val="0"/>
        <w:rPr>
          <w:rStyle w:val="Strong"/>
          <w:sz w:val="22"/>
          <w:szCs w:val="22"/>
          <w:u w:val="single"/>
          <w:lang w:val="en-GB"/>
        </w:rPr>
      </w:pPr>
      <w:r>
        <w:rPr>
          <w:rStyle w:val="Strong"/>
          <w:sz w:val="22"/>
          <w:szCs w:val="22"/>
          <w:u w:val="single"/>
          <w:lang w:val="en-GB"/>
        </w:rPr>
        <w:br/>
      </w:r>
    </w:p>
    <w:p w14:paraId="3BE954AF" w14:textId="77777777" w:rsidR="003B3E06" w:rsidRDefault="00EF74CF" w:rsidP="00AC2A41">
      <w:pPr>
        <w:outlineLvl w:val="0"/>
        <w:rPr>
          <w:rStyle w:val="Strong"/>
          <w:b w:val="0"/>
          <w:sz w:val="22"/>
          <w:szCs w:val="22"/>
          <w:lang w:val="en-GB"/>
        </w:rPr>
      </w:pPr>
      <w:r w:rsidRPr="00EF74CF">
        <w:rPr>
          <w:rStyle w:val="Strong"/>
          <w:sz w:val="22"/>
          <w:szCs w:val="22"/>
          <w:u w:val="single"/>
          <w:lang w:val="en-GB"/>
        </w:rPr>
        <w:br/>
      </w:r>
    </w:p>
    <w:p w14:paraId="4B3F0DCB" w14:textId="2881B346" w:rsidR="00DE28AE" w:rsidRPr="00D225CC" w:rsidRDefault="00DE28AE" w:rsidP="00DE28AE">
      <w:pPr>
        <w:pStyle w:val="Blockquote"/>
        <w:ind w:left="709"/>
        <w:rPr>
          <w:i/>
          <w:sz w:val="22"/>
          <w:szCs w:val="22"/>
          <w:lang w:val="en-GB"/>
        </w:rPr>
      </w:pPr>
    </w:p>
    <w:sectPr w:rsidR="00DE28AE" w:rsidRPr="00D225CC" w:rsidSect="00BC34CF">
      <w:headerReference w:type="default" r:id="rId8"/>
      <w:footerReference w:type="default" r:id="rId9"/>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B3644" w14:textId="77777777" w:rsidR="005061A6" w:rsidRDefault="005061A6">
      <w:r>
        <w:separator/>
      </w:r>
    </w:p>
  </w:endnote>
  <w:endnote w:type="continuationSeparator" w:id="0">
    <w:p w14:paraId="1D416BE6" w14:textId="77777777" w:rsidR="005061A6" w:rsidRDefault="0050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C3A5" w14:textId="77777777" w:rsidR="00CE3B1B" w:rsidRDefault="00CE3B1B" w:rsidP="00CE3B1B">
    <w:pPr>
      <w:pStyle w:val="Footer"/>
      <w:tabs>
        <w:tab w:val="clear" w:pos="4320"/>
        <w:tab w:val="clear" w:pos="8640"/>
        <w:tab w:val="right" w:pos="9214"/>
      </w:tabs>
      <w:spacing w:before="120" w:after="0"/>
      <w:rPr>
        <w:b/>
        <w:snapToGrid/>
        <w:sz w:val="18"/>
        <w:szCs w:val="18"/>
        <w:lang w:val="en-GB"/>
      </w:rPr>
    </w:pPr>
    <w:r>
      <w:rPr>
        <w:b/>
        <w:sz w:val="18"/>
        <w:szCs w:val="18"/>
        <w:lang w:val="en-GB"/>
      </w:rPr>
      <w:t>August 2020</w:t>
    </w:r>
  </w:p>
  <w:p w14:paraId="0057A180" w14:textId="570D3A61" w:rsidR="00EF0A8C" w:rsidRPr="001839B8" w:rsidRDefault="004D3975" w:rsidP="001839B8">
    <w:pPr>
      <w:tabs>
        <w:tab w:val="center" w:pos="4536"/>
        <w:tab w:val="right" w:pos="9072"/>
      </w:tabs>
      <w:spacing w:before="0" w:after="0"/>
      <w:rPr>
        <w:noProof/>
        <w:snapToGrid/>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7A6438">
      <w:rPr>
        <w:noProof/>
        <w:sz w:val="18"/>
        <w:szCs w:val="18"/>
        <w:lang w:val="en-GB"/>
      </w:rPr>
      <w:t>a5e_contractnotice_enotices_en.doc</w:t>
    </w:r>
    <w:r>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E95FE8">
      <w:rPr>
        <w:rStyle w:val="PageNumber"/>
        <w:noProof/>
        <w:sz w:val="18"/>
        <w:szCs w:val="18"/>
      </w:rPr>
      <w:t>2</w:t>
    </w:r>
    <w:r w:rsidR="00EF0A8C" w:rsidRPr="009F128B">
      <w:rPr>
        <w:rStyle w:val="PageNumber"/>
        <w:sz w:val="18"/>
        <w:szCs w:val="18"/>
      </w:rPr>
      <w:fldChar w:fldCharType="end"/>
    </w:r>
    <w:r w:rsidR="00B22E7F">
      <w:rPr>
        <w:rStyle w:val="PageNumber"/>
        <w:sz w:val="18"/>
        <w:szCs w:val="18"/>
      </w:rPr>
      <w:t xml:space="preserve"> of </w:t>
    </w:r>
    <w:r w:rsidR="007A6438">
      <w:rPr>
        <w:rStyle w:val="PageNumber"/>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3C3E" w14:textId="77777777" w:rsidR="005061A6" w:rsidRDefault="005061A6">
      <w:r>
        <w:separator/>
      </w:r>
    </w:p>
  </w:footnote>
  <w:footnote w:type="continuationSeparator" w:id="0">
    <w:p w14:paraId="0C1A5640" w14:textId="77777777" w:rsidR="005061A6" w:rsidRDefault="0050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p w14:paraId="0906816B" w14:textId="77777777" w:rsidR="00027B31" w:rsidRDefault="00027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64B1"/>
    <w:rsid w:val="00017E7C"/>
    <w:rsid w:val="0002004D"/>
    <w:rsid w:val="0002165D"/>
    <w:rsid w:val="00022D5F"/>
    <w:rsid w:val="00024DAC"/>
    <w:rsid w:val="00027B31"/>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2E59"/>
    <w:rsid w:val="000A3758"/>
    <w:rsid w:val="000B464E"/>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839B8"/>
    <w:rsid w:val="00192D12"/>
    <w:rsid w:val="001951FE"/>
    <w:rsid w:val="001A0C86"/>
    <w:rsid w:val="001A1BE1"/>
    <w:rsid w:val="001B13B1"/>
    <w:rsid w:val="001B2571"/>
    <w:rsid w:val="001B3955"/>
    <w:rsid w:val="001C3A54"/>
    <w:rsid w:val="001C64F1"/>
    <w:rsid w:val="001D19A6"/>
    <w:rsid w:val="001D55F7"/>
    <w:rsid w:val="001D5DEF"/>
    <w:rsid w:val="001E0BA5"/>
    <w:rsid w:val="001E50A2"/>
    <w:rsid w:val="001F08D0"/>
    <w:rsid w:val="001F120E"/>
    <w:rsid w:val="001F1546"/>
    <w:rsid w:val="001F47F3"/>
    <w:rsid w:val="001F5D80"/>
    <w:rsid w:val="00200752"/>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C79EE"/>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0C7D"/>
    <w:rsid w:val="0036159C"/>
    <w:rsid w:val="003717BC"/>
    <w:rsid w:val="00371FD9"/>
    <w:rsid w:val="00372452"/>
    <w:rsid w:val="0038633F"/>
    <w:rsid w:val="00386E96"/>
    <w:rsid w:val="0038796E"/>
    <w:rsid w:val="003947E7"/>
    <w:rsid w:val="00397073"/>
    <w:rsid w:val="00397634"/>
    <w:rsid w:val="003A2E1C"/>
    <w:rsid w:val="003A4357"/>
    <w:rsid w:val="003A52C2"/>
    <w:rsid w:val="003A7E14"/>
    <w:rsid w:val="003B3E06"/>
    <w:rsid w:val="003B43A8"/>
    <w:rsid w:val="003B55F6"/>
    <w:rsid w:val="003C10AA"/>
    <w:rsid w:val="003C2D69"/>
    <w:rsid w:val="003C555B"/>
    <w:rsid w:val="003C7944"/>
    <w:rsid w:val="003D195A"/>
    <w:rsid w:val="003D2ADD"/>
    <w:rsid w:val="003D4201"/>
    <w:rsid w:val="003D6B49"/>
    <w:rsid w:val="003E3A87"/>
    <w:rsid w:val="003E74E2"/>
    <w:rsid w:val="003F32FF"/>
    <w:rsid w:val="0040180D"/>
    <w:rsid w:val="0040360C"/>
    <w:rsid w:val="0040443B"/>
    <w:rsid w:val="0042033D"/>
    <w:rsid w:val="00424124"/>
    <w:rsid w:val="00426624"/>
    <w:rsid w:val="0043190A"/>
    <w:rsid w:val="00434A54"/>
    <w:rsid w:val="0043637D"/>
    <w:rsid w:val="004405D2"/>
    <w:rsid w:val="00443B96"/>
    <w:rsid w:val="00445BA6"/>
    <w:rsid w:val="00447D77"/>
    <w:rsid w:val="0045124A"/>
    <w:rsid w:val="0045494F"/>
    <w:rsid w:val="00460907"/>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C7EE8"/>
    <w:rsid w:val="004D3975"/>
    <w:rsid w:val="004D3E61"/>
    <w:rsid w:val="004E083B"/>
    <w:rsid w:val="004E1482"/>
    <w:rsid w:val="004E33E4"/>
    <w:rsid w:val="004E69A4"/>
    <w:rsid w:val="004F00C7"/>
    <w:rsid w:val="004F2332"/>
    <w:rsid w:val="004F34C4"/>
    <w:rsid w:val="004F3BBC"/>
    <w:rsid w:val="004F4A09"/>
    <w:rsid w:val="004F61CA"/>
    <w:rsid w:val="004F74D1"/>
    <w:rsid w:val="00500794"/>
    <w:rsid w:val="005012DF"/>
    <w:rsid w:val="00502217"/>
    <w:rsid w:val="00503CD9"/>
    <w:rsid w:val="005046CD"/>
    <w:rsid w:val="00505437"/>
    <w:rsid w:val="005061A6"/>
    <w:rsid w:val="005062FD"/>
    <w:rsid w:val="005070DB"/>
    <w:rsid w:val="00511119"/>
    <w:rsid w:val="00513B1A"/>
    <w:rsid w:val="0051514D"/>
    <w:rsid w:val="00516C38"/>
    <w:rsid w:val="00523826"/>
    <w:rsid w:val="0053000F"/>
    <w:rsid w:val="00533CE6"/>
    <w:rsid w:val="0054183B"/>
    <w:rsid w:val="0055037B"/>
    <w:rsid w:val="005558E0"/>
    <w:rsid w:val="00560399"/>
    <w:rsid w:val="0056183E"/>
    <w:rsid w:val="00565A69"/>
    <w:rsid w:val="00571687"/>
    <w:rsid w:val="00571989"/>
    <w:rsid w:val="00572F15"/>
    <w:rsid w:val="00576EFD"/>
    <w:rsid w:val="00581953"/>
    <w:rsid w:val="005837BC"/>
    <w:rsid w:val="00583EC9"/>
    <w:rsid w:val="00584BF4"/>
    <w:rsid w:val="00584D96"/>
    <w:rsid w:val="005908F0"/>
    <w:rsid w:val="00590ADB"/>
    <w:rsid w:val="005B13A4"/>
    <w:rsid w:val="005B2FB5"/>
    <w:rsid w:val="005B35A2"/>
    <w:rsid w:val="005B3ED3"/>
    <w:rsid w:val="005B48D0"/>
    <w:rsid w:val="005B4F80"/>
    <w:rsid w:val="005C0C61"/>
    <w:rsid w:val="005D0AD5"/>
    <w:rsid w:val="005D3D85"/>
    <w:rsid w:val="005D720E"/>
    <w:rsid w:val="005E3AE0"/>
    <w:rsid w:val="005E3EEE"/>
    <w:rsid w:val="005E53BD"/>
    <w:rsid w:val="005F2E17"/>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1EE"/>
    <w:rsid w:val="006A0598"/>
    <w:rsid w:val="006A2F21"/>
    <w:rsid w:val="006A3716"/>
    <w:rsid w:val="006A66DA"/>
    <w:rsid w:val="006A7394"/>
    <w:rsid w:val="006B2F6C"/>
    <w:rsid w:val="006B3D18"/>
    <w:rsid w:val="006B59B9"/>
    <w:rsid w:val="006B6D53"/>
    <w:rsid w:val="006C0EB6"/>
    <w:rsid w:val="006C0F37"/>
    <w:rsid w:val="006C22AA"/>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190E"/>
    <w:rsid w:val="00752A71"/>
    <w:rsid w:val="00753FC2"/>
    <w:rsid w:val="00756C38"/>
    <w:rsid w:val="00760683"/>
    <w:rsid w:val="00761673"/>
    <w:rsid w:val="00761893"/>
    <w:rsid w:val="007653F4"/>
    <w:rsid w:val="007727F3"/>
    <w:rsid w:val="0078358A"/>
    <w:rsid w:val="00783B39"/>
    <w:rsid w:val="007955F2"/>
    <w:rsid w:val="00795842"/>
    <w:rsid w:val="007958C7"/>
    <w:rsid w:val="00795E5F"/>
    <w:rsid w:val="007A04AC"/>
    <w:rsid w:val="007A6438"/>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02F33"/>
    <w:rsid w:val="008162F6"/>
    <w:rsid w:val="008272C0"/>
    <w:rsid w:val="008323D3"/>
    <w:rsid w:val="008351FF"/>
    <w:rsid w:val="00840AB7"/>
    <w:rsid w:val="00845D2E"/>
    <w:rsid w:val="00851792"/>
    <w:rsid w:val="00853875"/>
    <w:rsid w:val="00853D4E"/>
    <w:rsid w:val="00855235"/>
    <w:rsid w:val="00860295"/>
    <w:rsid w:val="00872753"/>
    <w:rsid w:val="0088068C"/>
    <w:rsid w:val="008841EA"/>
    <w:rsid w:val="00892A43"/>
    <w:rsid w:val="008938FF"/>
    <w:rsid w:val="00894E29"/>
    <w:rsid w:val="0089693D"/>
    <w:rsid w:val="008A1514"/>
    <w:rsid w:val="008A377D"/>
    <w:rsid w:val="008C02E5"/>
    <w:rsid w:val="008C2513"/>
    <w:rsid w:val="008C3178"/>
    <w:rsid w:val="008C5B63"/>
    <w:rsid w:val="008C68A0"/>
    <w:rsid w:val="008D02FF"/>
    <w:rsid w:val="008D1243"/>
    <w:rsid w:val="008D243C"/>
    <w:rsid w:val="008E2D12"/>
    <w:rsid w:val="008E7EB2"/>
    <w:rsid w:val="008F4ED2"/>
    <w:rsid w:val="009044E4"/>
    <w:rsid w:val="009055F3"/>
    <w:rsid w:val="009066B6"/>
    <w:rsid w:val="00907556"/>
    <w:rsid w:val="00913817"/>
    <w:rsid w:val="0092310D"/>
    <w:rsid w:val="00924137"/>
    <w:rsid w:val="00925F7F"/>
    <w:rsid w:val="0092731B"/>
    <w:rsid w:val="00952960"/>
    <w:rsid w:val="00960A2B"/>
    <w:rsid w:val="0096214C"/>
    <w:rsid w:val="00962EEA"/>
    <w:rsid w:val="009707C4"/>
    <w:rsid w:val="00970B01"/>
    <w:rsid w:val="00971CC5"/>
    <w:rsid w:val="00986E94"/>
    <w:rsid w:val="009874BD"/>
    <w:rsid w:val="009900DD"/>
    <w:rsid w:val="00990B40"/>
    <w:rsid w:val="00991002"/>
    <w:rsid w:val="009B06B5"/>
    <w:rsid w:val="009B3DD1"/>
    <w:rsid w:val="009B5E33"/>
    <w:rsid w:val="009B6F36"/>
    <w:rsid w:val="009C0754"/>
    <w:rsid w:val="009C0E9E"/>
    <w:rsid w:val="009C17DE"/>
    <w:rsid w:val="009C4007"/>
    <w:rsid w:val="009C7312"/>
    <w:rsid w:val="009D6350"/>
    <w:rsid w:val="009D6916"/>
    <w:rsid w:val="009E1648"/>
    <w:rsid w:val="009E2EF4"/>
    <w:rsid w:val="009E4662"/>
    <w:rsid w:val="009E5005"/>
    <w:rsid w:val="009F128B"/>
    <w:rsid w:val="00A03055"/>
    <w:rsid w:val="00A1137E"/>
    <w:rsid w:val="00A11931"/>
    <w:rsid w:val="00A171EA"/>
    <w:rsid w:val="00A22177"/>
    <w:rsid w:val="00A2314D"/>
    <w:rsid w:val="00A2523F"/>
    <w:rsid w:val="00A433A6"/>
    <w:rsid w:val="00A43E7A"/>
    <w:rsid w:val="00A46ED3"/>
    <w:rsid w:val="00A525AF"/>
    <w:rsid w:val="00A54502"/>
    <w:rsid w:val="00A66074"/>
    <w:rsid w:val="00A7101F"/>
    <w:rsid w:val="00A73E50"/>
    <w:rsid w:val="00A7648B"/>
    <w:rsid w:val="00A779FE"/>
    <w:rsid w:val="00A77B07"/>
    <w:rsid w:val="00A80577"/>
    <w:rsid w:val="00A84E04"/>
    <w:rsid w:val="00A853CC"/>
    <w:rsid w:val="00A91076"/>
    <w:rsid w:val="00A96048"/>
    <w:rsid w:val="00A97B08"/>
    <w:rsid w:val="00AA3505"/>
    <w:rsid w:val="00AA5256"/>
    <w:rsid w:val="00AA7762"/>
    <w:rsid w:val="00AB00B8"/>
    <w:rsid w:val="00AB32E4"/>
    <w:rsid w:val="00AB4DF6"/>
    <w:rsid w:val="00AB7DAB"/>
    <w:rsid w:val="00AC0D0C"/>
    <w:rsid w:val="00AC1A60"/>
    <w:rsid w:val="00AC2A41"/>
    <w:rsid w:val="00AC674C"/>
    <w:rsid w:val="00AC6D8D"/>
    <w:rsid w:val="00AD330A"/>
    <w:rsid w:val="00AD56A6"/>
    <w:rsid w:val="00AD5F08"/>
    <w:rsid w:val="00AE1D8D"/>
    <w:rsid w:val="00AE6A5B"/>
    <w:rsid w:val="00AE7F65"/>
    <w:rsid w:val="00AF7BB3"/>
    <w:rsid w:val="00B063F9"/>
    <w:rsid w:val="00B112A1"/>
    <w:rsid w:val="00B14398"/>
    <w:rsid w:val="00B17284"/>
    <w:rsid w:val="00B22E7F"/>
    <w:rsid w:val="00B23087"/>
    <w:rsid w:val="00B30DFF"/>
    <w:rsid w:val="00B32C92"/>
    <w:rsid w:val="00B3367E"/>
    <w:rsid w:val="00B403D6"/>
    <w:rsid w:val="00B4508A"/>
    <w:rsid w:val="00B46840"/>
    <w:rsid w:val="00B513FE"/>
    <w:rsid w:val="00B5587D"/>
    <w:rsid w:val="00B56D0A"/>
    <w:rsid w:val="00B60EC5"/>
    <w:rsid w:val="00B62C92"/>
    <w:rsid w:val="00B72045"/>
    <w:rsid w:val="00B740D9"/>
    <w:rsid w:val="00B74AA7"/>
    <w:rsid w:val="00B7586A"/>
    <w:rsid w:val="00B76345"/>
    <w:rsid w:val="00B84AED"/>
    <w:rsid w:val="00B877B2"/>
    <w:rsid w:val="00B879BF"/>
    <w:rsid w:val="00B92478"/>
    <w:rsid w:val="00B9752F"/>
    <w:rsid w:val="00BA0765"/>
    <w:rsid w:val="00BA0EC9"/>
    <w:rsid w:val="00BA14DE"/>
    <w:rsid w:val="00BA1E67"/>
    <w:rsid w:val="00BA4DA9"/>
    <w:rsid w:val="00BB2689"/>
    <w:rsid w:val="00BB517A"/>
    <w:rsid w:val="00BB68B0"/>
    <w:rsid w:val="00BB761C"/>
    <w:rsid w:val="00BC00A1"/>
    <w:rsid w:val="00BC0714"/>
    <w:rsid w:val="00BC34CF"/>
    <w:rsid w:val="00BC353E"/>
    <w:rsid w:val="00BD552F"/>
    <w:rsid w:val="00BE595A"/>
    <w:rsid w:val="00BE6FAB"/>
    <w:rsid w:val="00BE783C"/>
    <w:rsid w:val="00BE7B3C"/>
    <w:rsid w:val="00BF5FBD"/>
    <w:rsid w:val="00BF785F"/>
    <w:rsid w:val="00C00D44"/>
    <w:rsid w:val="00C03806"/>
    <w:rsid w:val="00C0717C"/>
    <w:rsid w:val="00C071C4"/>
    <w:rsid w:val="00C10475"/>
    <w:rsid w:val="00C14AF2"/>
    <w:rsid w:val="00C171B6"/>
    <w:rsid w:val="00C2452B"/>
    <w:rsid w:val="00C27405"/>
    <w:rsid w:val="00C27CA9"/>
    <w:rsid w:val="00C30183"/>
    <w:rsid w:val="00C35636"/>
    <w:rsid w:val="00C3644F"/>
    <w:rsid w:val="00C460D8"/>
    <w:rsid w:val="00C545B1"/>
    <w:rsid w:val="00C579ED"/>
    <w:rsid w:val="00C712DE"/>
    <w:rsid w:val="00C8296E"/>
    <w:rsid w:val="00C83C65"/>
    <w:rsid w:val="00C840D0"/>
    <w:rsid w:val="00C90172"/>
    <w:rsid w:val="00C93301"/>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3B1B"/>
    <w:rsid w:val="00CE7536"/>
    <w:rsid w:val="00CF0E53"/>
    <w:rsid w:val="00D00216"/>
    <w:rsid w:val="00D011CD"/>
    <w:rsid w:val="00D0254B"/>
    <w:rsid w:val="00D225CC"/>
    <w:rsid w:val="00D22682"/>
    <w:rsid w:val="00D240C3"/>
    <w:rsid w:val="00D25196"/>
    <w:rsid w:val="00D339BD"/>
    <w:rsid w:val="00D35B9C"/>
    <w:rsid w:val="00D36765"/>
    <w:rsid w:val="00D40309"/>
    <w:rsid w:val="00D46724"/>
    <w:rsid w:val="00D517A4"/>
    <w:rsid w:val="00D53C59"/>
    <w:rsid w:val="00D5479F"/>
    <w:rsid w:val="00D549F4"/>
    <w:rsid w:val="00D640F5"/>
    <w:rsid w:val="00D674F6"/>
    <w:rsid w:val="00D67CD8"/>
    <w:rsid w:val="00D67F00"/>
    <w:rsid w:val="00D76090"/>
    <w:rsid w:val="00D80D74"/>
    <w:rsid w:val="00D82AA0"/>
    <w:rsid w:val="00D8779C"/>
    <w:rsid w:val="00D92321"/>
    <w:rsid w:val="00DA098F"/>
    <w:rsid w:val="00DA0ABA"/>
    <w:rsid w:val="00DA66CB"/>
    <w:rsid w:val="00DB0E68"/>
    <w:rsid w:val="00DB35A9"/>
    <w:rsid w:val="00DB711B"/>
    <w:rsid w:val="00DC0253"/>
    <w:rsid w:val="00DC4F70"/>
    <w:rsid w:val="00DC6C9C"/>
    <w:rsid w:val="00DC753D"/>
    <w:rsid w:val="00DD0CD4"/>
    <w:rsid w:val="00DD6CBD"/>
    <w:rsid w:val="00DD759E"/>
    <w:rsid w:val="00DE1061"/>
    <w:rsid w:val="00DE2699"/>
    <w:rsid w:val="00DE28AE"/>
    <w:rsid w:val="00DE29BF"/>
    <w:rsid w:val="00DE7B12"/>
    <w:rsid w:val="00DF2F63"/>
    <w:rsid w:val="00E1782A"/>
    <w:rsid w:val="00E25542"/>
    <w:rsid w:val="00E2770C"/>
    <w:rsid w:val="00E30BB5"/>
    <w:rsid w:val="00E31447"/>
    <w:rsid w:val="00E422A2"/>
    <w:rsid w:val="00E51C35"/>
    <w:rsid w:val="00E734C8"/>
    <w:rsid w:val="00E813B7"/>
    <w:rsid w:val="00E81F05"/>
    <w:rsid w:val="00E82874"/>
    <w:rsid w:val="00E9047D"/>
    <w:rsid w:val="00E95E44"/>
    <w:rsid w:val="00E95FE8"/>
    <w:rsid w:val="00EA399C"/>
    <w:rsid w:val="00EB32FA"/>
    <w:rsid w:val="00EB4C19"/>
    <w:rsid w:val="00ED2177"/>
    <w:rsid w:val="00ED3B60"/>
    <w:rsid w:val="00EE6E92"/>
    <w:rsid w:val="00EF03C9"/>
    <w:rsid w:val="00EF0A8C"/>
    <w:rsid w:val="00EF10D8"/>
    <w:rsid w:val="00EF2B16"/>
    <w:rsid w:val="00EF5C07"/>
    <w:rsid w:val="00EF6A28"/>
    <w:rsid w:val="00EF6FBF"/>
    <w:rsid w:val="00EF74CF"/>
    <w:rsid w:val="00F049D9"/>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963B3"/>
    <w:rsid w:val="00FA17FC"/>
    <w:rsid w:val="00FA43CC"/>
    <w:rsid w:val="00FA6798"/>
    <w:rsid w:val="00FB17AC"/>
    <w:rsid w:val="00FB7051"/>
    <w:rsid w:val="00FC08E1"/>
    <w:rsid w:val="00FC32D3"/>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8546">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076443238">
      <w:bodyDiv w:val="1"/>
      <w:marLeft w:val="0"/>
      <w:marRight w:val="0"/>
      <w:marTop w:val="0"/>
      <w:marBottom w:val="0"/>
      <w:divBdr>
        <w:top w:val="none" w:sz="0" w:space="0" w:color="auto"/>
        <w:left w:val="none" w:sz="0" w:space="0" w:color="auto"/>
        <w:bottom w:val="none" w:sz="0" w:space="0" w:color="auto"/>
        <w:right w:val="none" w:sz="0" w:space="0" w:color="auto"/>
      </w:divBdr>
    </w:div>
    <w:div w:id="14373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EE02-DA9B-4B67-A3EF-56E207C3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Jelena Jelisavčić</cp:lastModifiedBy>
  <cp:revision>58</cp:revision>
  <cp:lastPrinted>2020-10-27T13:40:00Z</cp:lastPrinted>
  <dcterms:created xsi:type="dcterms:W3CDTF">2020-10-07T12:43:00Z</dcterms:created>
  <dcterms:modified xsi:type="dcterms:W3CDTF">2020-12-30T14:04:00Z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