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545D9A94" w14:textId="77777777" w:rsidR="0068234B" w:rsidRPr="000F1C89" w:rsidRDefault="0068234B">
      <w:pPr>
        <w:rPr>
          <w:szCs w:val="22"/>
        </w:rPr>
      </w:pPr>
      <w:r w:rsidRPr="000F1C89">
        <w:rPr>
          <w:szCs w:val="22"/>
        </w:rPr>
        <w:br w:type="page"/>
      </w:r>
    </w:p>
    <w:p w14:paraId="260005D2" w14:textId="77777777" w:rsidR="0068234B" w:rsidRPr="000A7BE8" w:rsidRDefault="00AA7E1D">
      <w:pPr>
        <w:jc w:val="center"/>
        <w:rPr>
          <w:sz w:val="28"/>
          <w:szCs w:val="28"/>
        </w:rPr>
      </w:pPr>
      <w:r w:rsidRPr="000A7BE8">
        <w:rPr>
          <w:b/>
          <w:sz w:val="28"/>
          <w:szCs w:val="28"/>
        </w:rPr>
        <w:lastRenderedPageBreak/>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69EC0BE6" w14:textId="7D3344AA"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776DFA" w:rsidRPr="000004F1">
        <w:rPr>
          <w:rFonts w:ascii="Times New Roman" w:hAnsi="Times New Roman"/>
          <w:sz w:val="22"/>
          <w:szCs w:val="22"/>
          <w:lang w:val="en-GB"/>
        </w:rPr>
        <w:t>NEAR/BEG/2021/EA-OP/0122</w:t>
      </w:r>
    </w:p>
    <w:p w14:paraId="1F9162C1"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7777777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11" w:history="1">
        <w:r w:rsidR="00F05853" w:rsidRPr="000F1C89">
          <w:rPr>
            <w:rStyle w:val="Hyperlink"/>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61719696" w14:textId="0D846E73" w:rsidR="0068234B" w:rsidRPr="000F1C89" w:rsidRDefault="0068234B" w:rsidP="00D2731E">
      <w:pPr>
        <w:jc w:val="left"/>
      </w:pPr>
      <w:r w:rsidRPr="000F1C89">
        <w:rPr>
          <w:b/>
        </w:rPr>
        <w:br w:type="page"/>
      </w:r>
    </w:p>
    <w:p w14:paraId="5DAAD806" w14:textId="77777777" w:rsidR="0068234B" w:rsidRPr="000F1C89" w:rsidRDefault="0068234B">
      <w:pPr>
        <w:jc w:val="center"/>
        <w:rPr>
          <w:b/>
          <w:szCs w:val="22"/>
        </w:rPr>
      </w:pPr>
      <w:r w:rsidRPr="000F1C89">
        <w:rPr>
          <w:b/>
          <w:szCs w:val="22"/>
        </w:rPr>
        <w:lastRenderedPageBreak/>
        <w:t>CONTENTS</w:t>
      </w:r>
    </w:p>
    <w:p w14:paraId="7E2E4EB8" w14:textId="77777777" w:rsidR="0068234B" w:rsidRPr="000F1C89" w:rsidRDefault="0068234B">
      <w:pPr>
        <w:rPr>
          <w:szCs w:val="22"/>
        </w:rPr>
      </w:pPr>
    </w:p>
    <w:p w14:paraId="518EE24D" w14:textId="77777777"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14:paraId="718C8EBE" w14:textId="77777777"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14:paraId="384D0902" w14:textId="77777777"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14:paraId="7E5F6079" w14:textId="77777777"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14:paraId="2C04FE7D" w14:textId="77777777"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14:paraId="56A3D70D" w14:textId="77777777"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14:paraId="667DFF29" w14:textId="77777777"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14:paraId="0AB2C840" w14:textId="77777777"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14:paraId="07B8F880" w14:textId="77777777"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14:paraId="5E21F148" w14:textId="77777777"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14:paraId="57324C7E" w14:textId="77777777"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14:paraId="3FAD68D9" w14:textId="77777777"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14:paraId="7A9C15F5" w14:textId="77777777"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14:paraId="510362FF" w14:textId="77777777"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14:paraId="09F9A862" w14:textId="77777777"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14:paraId="49BD5F9D" w14:textId="77777777"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14:paraId="0109E3BA" w14:textId="77777777"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14:paraId="73721A4D" w14:textId="77777777"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14:paraId="7B6803F7" w14:textId="77777777"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14:paraId="606D1A2F" w14:textId="77777777"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14:paraId="549255DD" w14:textId="77777777"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14:paraId="0CF4E27E" w14:textId="77777777"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14:paraId="29A1C222" w14:textId="77777777"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14:paraId="3DA15B55" w14:textId="77777777"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14:paraId="7239A291" w14:textId="77777777"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14:paraId="281E9AF3" w14:textId="77777777"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14:paraId="392B22EF" w14:textId="77777777"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14:paraId="46E80FAD" w14:textId="77777777"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14:paraId="4FAE4C6B" w14:textId="77777777"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14:paraId="6CB68647" w14:textId="77777777"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14:paraId="314A30BA" w14:textId="77777777"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14:paraId="063C2ECF" w14:textId="77777777"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14:paraId="4DDC6981" w14:textId="77777777"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14:paraId="1BC85D72" w14:textId="77777777"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14:paraId="70B5A13F" w14:textId="77777777" w:rsidR="0068234B" w:rsidRPr="000F1C89" w:rsidRDefault="00224A76">
      <w:pPr>
        <w:rPr>
          <w:szCs w:val="22"/>
        </w:rPr>
      </w:pPr>
      <w:r>
        <w:rPr>
          <w:sz w:val="24"/>
          <w:szCs w:val="22"/>
        </w:rPr>
        <w:fldChar w:fldCharType="end"/>
      </w:r>
    </w:p>
    <w:p w14:paraId="02F7EEFE" w14:textId="77777777" w:rsidR="009858A9" w:rsidRPr="000F1C89" w:rsidRDefault="009858A9">
      <w:pPr>
        <w:rPr>
          <w:szCs w:val="22"/>
        </w:rPr>
        <w:sectPr w:rsidR="009858A9" w:rsidRPr="000F1C89" w:rsidSect="00AA7E1D">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titlePg/>
        </w:sectPr>
      </w:pPr>
    </w:p>
    <w:p w14:paraId="7C98388C" w14:textId="77777777" w:rsidR="0068234B" w:rsidRPr="000F1C89" w:rsidRDefault="0068234B" w:rsidP="00E97DD1">
      <w:pPr>
        <w:pStyle w:val="Heading1"/>
      </w:pPr>
      <w:bookmarkStart w:id="5" w:name="_Toc529523953"/>
      <w:r w:rsidRPr="000F1C89">
        <w:lastRenderedPageBreak/>
        <w:t>GENERAL PART</w:t>
      </w:r>
      <w:bookmarkEnd w:id="5"/>
    </w:p>
    <w:p w14:paraId="76BE4E7E" w14:textId="3CA19648" w:rsidR="0068234B" w:rsidRPr="000F1C89" w:rsidRDefault="0068234B" w:rsidP="00D402EB">
      <w:pPr>
        <w:pStyle w:val="Heading2"/>
      </w:pPr>
      <w:bookmarkStart w:id="6" w:name="_Toc529523954"/>
      <w:r w:rsidRPr="000F1C89">
        <w:t>GENERAL INSTRUCTIONS</w:t>
      </w:r>
      <w:bookmarkEnd w:id="6"/>
    </w:p>
    <w:p w14:paraId="7DD61D73"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295D97">
      <w:pPr>
        <w:pStyle w:val="Heading3"/>
      </w:pPr>
      <w:r w:rsidRPr="000F1C89">
        <w:t>Timetable</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835"/>
      </w:tblGrid>
      <w:tr w:rsidR="0068234B" w:rsidRPr="000F1C89" w14:paraId="203A0225" w14:textId="77777777" w:rsidTr="00E028A5">
        <w:trPr>
          <w:jc w:val="center"/>
        </w:trPr>
        <w:tc>
          <w:tcPr>
            <w:tcW w:w="3969" w:type="dxa"/>
            <w:tcBorders>
              <w:bottom w:val="nil"/>
            </w:tcBorders>
          </w:tcPr>
          <w:p w14:paraId="728484D0" w14:textId="77777777" w:rsidR="0068234B" w:rsidRPr="000F1C89" w:rsidRDefault="0068234B" w:rsidP="00617D2D">
            <w:pPr>
              <w:ind w:left="34"/>
              <w:jc w:val="left"/>
            </w:pPr>
          </w:p>
        </w:tc>
        <w:tc>
          <w:tcPr>
            <w:tcW w:w="2410" w:type="dxa"/>
            <w:shd w:val="pct10" w:color="auto" w:fill="FFFFFF"/>
          </w:tcPr>
          <w:p w14:paraId="60E80577" w14:textId="77777777" w:rsidR="0068234B" w:rsidRPr="000F1C89" w:rsidRDefault="0068234B" w:rsidP="00776DFA">
            <w:pPr>
              <w:ind w:left="34"/>
              <w:jc w:val="center"/>
              <w:rPr>
                <w:b/>
                <w:sz w:val="18"/>
              </w:rPr>
            </w:pPr>
            <w:r w:rsidRPr="000F1C89">
              <w:rPr>
                <w:b/>
                <w:sz w:val="18"/>
              </w:rPr>
              <w:t>DATE</w:t>
            </w:r>
          </w:p>
        </w:tc>
        <w:tc>
          <w:tcPr>
            <w:tcW w:w="2835" w:type="dxa"/>
            <w:tcBorders>
              <w:bottom w:val="nil"/>
            </w:tcBorders>
            <w:shd w:val="pct10" w:color="auto" w:fill="FFFFFF"/>
          </w:tcPr>
          <w:p w14:paraId="40268145" w14:textId="690F3836" w:rsidR="0068234B" w:rsidRPr="000F1C89" w:rsidRDefault="0068234B" w:rsidP="00617D2D">
            <w:pPr>
              <w:ind w:left="34"/>
              <w:jc w:val="center"/>
              <w:rPr>
                <w:b/>
                <w:sz w:val="18"/>
              </w:rPr>
            </w:pPr>
            <w:r w:rsidRPr="000F1C89">
              <w:rPr>
                <w:b/>
                <w:sz w:val="18"/>
              </w:rPr>
              <w:t>TIME</w:t>
            </w:r>
          </w:p>
        </w:tc>
      </w:tr>
      <w:tr w:rsidR="00F33556" w:rsidRPr="000F1C89" w14:paraId="2BADEC2C" w14:textId="77777777" w:rsidTr="00E028A5">
        <w:trPr>
          <w:jc w:val="center"/>
        </w:trPr>
        <w:tc>
          <w:tcPr>
            <w:tcW w:w="3969" w:type="dxa"/>
            <w:shd w:val="pct10" w:color="auto" w:fill="FFFFFF"/>
          </w:tcPr>
          <w:p w14:paraId="6C710341" w14:textId="4BF449BE" w:rsidR="00F33556" w:rsidRPr="000F1C89" w:rsidRDefault="00F33556" w:rsidP="00F33556">
            <w:pPr>
              <w:spacing w:before="60" w:after="60"/>
              <w:ind w:left="34"/>
              <w:jc w:val="left"/>
              <w:rPr>
                <w:b/>
              </w:rPr>
            </w:pPr>
            <w:r w:rsidRPr="000F1C89">
              <w:rPr>
                <w:b/>
              </w:rPr>
              <w:t xml:space="preserve">Clarification meeting </w:t>
            </w:r>
            <w:r w:rsidR="00776DFA">
              <w:rPr>
                <w:b/>
              </w:rPr>
              <w:t>(obliged</w:t>
            </w:r>
            <w:r>
              <w:rPr>
                <w:b/>
              </w:rPr>
              <w:t>)</w:t>
            </w:r>
          </w:p>
        </w:tc>
        <w:tc>
          <w:tcPr>
            <w:tcW w:w="2410" w:type="dxa"/>
          </w:tcPr>
          <w:p w14:paraId="4696CF32" w14:textId="15BAE2BC" w:rsidR="00F33556" w:rsidRPr="000F1C89" w:rsidRDefault="00776DFA" w:rsidP="00776DFA">
            <w:pPr>
              <w:spacing w:before="60" w:after="60"/>
              <w:ind w:left="34"/>
              <w:jc w:val="center"/>
            </w:pPr>
            <w:r>
              <w:t>28</w:t>
            </w:r>
            <w:r w:rsidRPr="00776DFA">
              <w:rPr>
                <w:vertAlign w:val="superscript"/>
              </w:rPr>
              <w:t>th</w:t>
            </w:r>
            <w:r>
              <w:t xml:space="preserve"> January 2022</w:t>
            </w:r>
          </w:p>
        </w:tc>
        <w:tc>
          <w:tcPr>
            <w:tcW w:w="2835" w:type="dxa"/>
          </w:tcPr>
          <w:p w14:paraId="2297914D" w14:textId="31932884" w:rsidR="00F33556" w:rsidRPr="000F1C89" w:rsidRDefault="00776DFA" w:rsidP="00F33556">
            <w:pPr>
              <w:spacing w:before="60" w:after="60"/>
              <w:ind w:left="34"/>
              <w:jc w:val="center"/>
            </w:pPr>
            <w:r>
              <w:rPr>
                <w:szCs w:val="22"/>
              </w:rPr>
              <w:t xml:space="preserve">12:00 </w:t>
            </w:r>
          </w:p>
        </w:tc>
      </w:tr>
      <w:tr w:rsidR="00F33556" w:rsidRPr="000F1C89" w14:paraId="2AF85513" w14:textId="77777777" w:rsidTr="00E028A5">
        <w:trPr>
          <w:jc w:val="center"/>
        </w:trPr>
        <w:tc>
          <w:tcPr>
            <w:tcW w:w="3969" w:type="dxa"/>
            <w:shd w:val="pct10" w:color="auto" w:fill="FFFFFF"/>
          </w:tcPr>
          <w:p w14:paraId="4A4A2C79" w14:textId="0E9090A7" w:rsidR="00F33556" w:rsidRPr="000F1C89" w:rsidRDefault="00F33556" w:rsidP="00F33556">
            <w:pPr>
              <w:spacing w:before="60" w:after="60"/>
              <w:ind w:left="34"/>
              <w:jc w:val="left"/>
              <w:rPr>
                <w:b/>
              </w:rPr>
            </w:pPr>
            <w:r w:rsidRPr="000F1C89">
              <w:rPr>
                <w:b/>
              </w:rPr>
              <w:t>Site visit</w:t>
            </w:r>
            <w:r w:rsidR="00776DFA">
              <w:rPr>
                <w:b/>
              </w:rPr>
              <w:t xml:space="preserve"> (obliged</w:t>
            </w:r>
            <w:r>
              <w:rPr>
                <w:b/>
              </w:rPr>
              <w:t>)</w:t>
            </w:r>
          </w:p>
        </w:tc>
        <w:tc>
          <w:tcPr>
            <w:tcW w:w="2410" w:type="dxa"/>
          </w:tcPr>
          <w:p w14:paraId="1A990BA8" w14:textId="552ABBC1" w:rsidR="00F33556" w:rsidRPr="000F1C89" w:rsidRDefault="00776DFA" w:rsidP="00776DFA">
            <w:pPr>
              <w:spacing w:before="60" w:after="60"/>
              <w:ind w:left="34"/>
              <w:jc w:val="center"/>
            </w:pPr>
            <w:r>
              <w:t>28</w:t>
            </w:r>
            <w:r w:rsidRPr="00776DFA">
              <w:rPr>
                <w:vertAlign w:val="superscript"/>
              </w:rPr>
              <w:t>th</w:t>
            </w:r>
            <w:r>
              <w:t xml:space="preserve"> January 2022</w:t>
            </w:r>
          </w:p>
        </w:tc>
        <w:tc>
          <w:tcPr>
            <w:tcW w:w="2835" w:type="dxa"/>
          </w:tcPr>
          <w:p w14:paraId="7C60DC82" w14:textId="39E4AD40" w:rsidR="00F33556" w:rsidRPr="000F1C89" w:rsidRDefault="00776DFA" w:rsidP="00F33556">
            <w:pPr>
              <w:spacing w:before="60" w:after="60"/>
              <w:ind w:left="34"/>
              <w:jc w:val="center"/>
            </w:pPr>
            <w:r>
              <w:rPr>
                <w:szCs w:val="22"/>
              </w:rPr>
              <w:t>12:00</w:t>
            </w:r>
          </w:p>
        </w:tc>
      </w:tr>
      <w:tr w:rsidR="00F33556" w:rsidRPr="000F1C89" w14:paraId="4A288481" w14:textId="77777777" w:rsidTr="00E028A5">
        <w:trPr>
          <w:jc w:val="center"/>
        </w:trPr>
        <w:tc>
          <w:tcPr>
            <w:tcW w:w="3969" w:type="dxa"/>
            <w:shd w:val="pct10" w:color="auto" w:fill="FFFFFF"/>
          </w:tcPr>
          <w:p w14:paraId="13E47878" w14:textId="77777777"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14:paraId="3EEE60C5" w14:textId="3A0248D8" w:rsidR="00F33556" w:rsidRPr="000F1C89" w:rsidRDefault="00E028A5" w:rsidP="00776DFA">
            <w:pPr>
              <w:spacing w:before="60" w:after="60"/>
              <w:ind w:left="34"/>
              <w:jc w:val="center"/>
            </w:pPr>
            <w:r>
              <w:rPr>
                <w:szCs w:val="22"/>
              </w:rPr>
              <w:t>16</w:t>
            </w:r>
            <w:r>
              <w:rPr>
                <w:szCs w:val="22"/>
                <w:vertAlign w:val="superscript"/>
              </w:rPr>
              <w:t>th</w:t>
            </w:r>
            <w:r>
              <w:rPr>
                <w:szCs w:val="22"/>
              </w:rPr>
              <w:t xml:space="preserve"> February 2022</w:t>
            </w:r>
          </w:p>
        </w:tc>
        <w:tc>
          <w:tcPr>
            <w:tcW w:w="2835" w:type="dxa"/>
          </w:tcPr>
          <w:p w14:paraId="5A0342DA" w14:textId="5DE7DF23" w:rsidR="00F33556" w:rsidRPr="000F1C89" w:rsidRDefault="00F33556" w:rsidP="00F33556">
            <w:pPr>
              <w:spacing w:before="60" w:after="60"/>
              <w:ind w:left="34"/>
              <w:jc w:val="center"/>
            </w:pPr>
            <w:r>
              <w:t>--</w:t>
            </w:r>
          </w:p>
        </w:tc>
      </w:tr>
      <w:tr w:rsidR="00F33556" w:rsidRPr="000F1C89" w14:paraId="17FE0DFC" w14:textId="77777777" w:rsidTr="00E028A5">
        <w:trPr>
          <w:jc w:val="center"/>
        </w:trPr>
        <w:tc>
          <w:tcPr>
            <w:tcW w:w="3969" w:type="dxa"/>
            <w:shd w:val="pct10" w:color="auto" w:fill="FFFFFF"/>
          </w:tcPr>
          <w:p w14:paraId="0F702481" w14:textId="77777777"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14:paraId="5C3521F5" w14:textId="32D8E4CE" w:rsidR="00F33556" w:rsidRPr="000F1C89" w:rsidRDefault="00E028A5" w:rsidP="00776DFA">
            <w:pPr>
              <w:spacing w:before="60" w:after="60"/>
              <w:ind w:left="34"/>
              <w:jc w:val="center"/>
            </w:pPr>
            <w:r>
              <w:rPr>
                <w:szCs w:val="22"/>
              </w:rPr>
              <w:t>1</w:t>
            </w:r>
            <w:r>
              <w:rPr>
                <w:szCs w:val="22"/>
                <w:vertAlign w:val="superscript"/>
              </w:rPr>
              <w:t>st</w:t>
            </w:r>
            <w:r>
              <w:rPr>
                <w:szCs w:val="22"/>
              </w:rPr>
              <w:t xml:space="preserve"> March</w:t>
            </w:r>
            <w:r w:rsidR="00776DFA">
              <w:rPr>
                <w:szCs w:val="22"/>
              </w:rPr>
              <w:t xml:space="preserve"> 2022</w:t>
            </w:r>
          </w:p>
        </w:tc>
        <w:tc>
          <w:tcPr>
            <w:tcW w:w="2835" w:type="dxa"/>
          </w:tcPr>
          <w:p w14:paraId="7D649D93" w14:textId="6C3F686A" w:rsidR="00F33556" w:rsidRPr="000F1C89" w:rsidRDefault="00F33556" w:rsidP="00F33556">
            <w:pPr>
              <w:spacing w:before="60" w:after="60"/>
              <w:ind w:left="34"/>
              <w:jc w:val="center"/>
            </w:pPr>
            <w:r w:rsidRPr="00E82463">
              <w:t>-</w:t>
            </w:r>
          </w:p>
        </w:tc>
      </w:tr>
      <w:tr w:rsidR="00F33556" w:rsidRPr="000F1C89" w14:paraId="7050C853" w14:textId="77777777" w:rsidTr="00E028A5">
        <w:trPr>
          <w:jc w:val="center"/>
        </w:trPr>
        <w:tc>
          <w:tcPr>
            <w:tcW w:w="3969" w:type="dxa"/>
            <w:shd w:val="pct10" w:color="auto" w:fill="FFFFFF"/>
          </w:tcPr>
          <w:p w14:paraId="086B4083" w14:textId="77777777" w:rsidR="00F33556" w:rsidRPr="000F1C89" w:rsidRDefault="00F33556" w:rsidP="00F33556">
            <w:pPr>
              <w:spacing w:before="60" w:after="60"/>
              <w:ind w:left="34"/>
              <w:jc w:val="left"/>
              <w:rPr>
                <w:b/>
              </w:rPr>
            </w:pPr>
            <w:r w:rsidRPr="000F1C89">
              <w:rPr>
                <w:b/>
              </w:rPr>
              <w:t>Deadline for submitting tenders</w:t>
            </w:r>
          </w:p>
        </w:tc>
        <w:tc>
          <w:tcPr>
            <w:tcW w:w="2410" w:type="dxa"/>
          </w:tcPr>
          <w:p w14:paraId="15968B67" w14:textId="66641B2B" w:rsidR="00F33556" w:rsidRPr="000F1C89" w:rsidRDefault="00F33556" w:rsidP="00776DFA">
            <w:pPr>
              <w:spacing w:before="60" w:after="60"/>
              <w:ind w:left="34"/>
              <w:jc w:val="center"/>
            </w:pPr>
            <w:r>
              <w:t>As indicated in the Contract notice (IV.2.2)</w:t>
            </w:r>
          </w:p>
        </w:tc>
        <w:tc>
          <w:tcPr>
            <w:tcW w:w="2835" w:type="dxa"/>
          </w:tcPr>
          <w:p w14:paraId="4B6EAF88" w14:textId="670CC2E1" w:rsidR="00F33556" w:rsidRPr="000F1C89" w:rsidRDefault="00F33556" w:rsidP="00F33556">
            <w:pPr>
              <w:spacing w:before="60" w:after="60"/>
              <w:ind w:left="34"/>
              <w:jc w:val="center"/>
            </w:pPr>
          </w:p>
        </w:tc>
      </w:tr>
      <w:tr w:rsidR="00F33556" w:rsidRPr="000F1C89" w14:paraId="074BFCE0" w14:textId="77777777" w:rsidTr="00E028A5">
        <w:trPr>
          <w:jc w:val="center"/>
        </w:trPr>
        <w:tc>
          <w:tcPr>
            <w:tcW w:w="3969" w:type="dxa"/>
            <w:shd w:val="pct10" w:color="auto" w:fill="FFFFFF"/>
          </w:tcPr>
          <w:p w14:paraId="662202C6" w14:textId="77777777" w:rsidR="00F33556" w:rsidRPr="000F1C89" w:rsidRDefault="00F33556" w:rsidP="00F33556">
            <w:pPr>
              <w:spacing w:before="60" w:after="60"/>
              <w:ind w:left="34"/>
              <w:jc w:val="left"/>
              <w:rPr>
                <w:b/>
              </w:rPr>
            </w:pPr>
            <w:r w:rsidRPr="000F1C89">
              <w:rPr>
                <w:b/>
              </w:rPr>
              <w:t>Tender opening session</w:t>
            </w:r>
          </w:p>
        </w:tc>
        <w:tc>
          <w:tcPr>
            <w:tcW w:w="2410" w:type="dxa"/>
          </w:tcPr>
          <w:p w14:paraId="41D1520D" w14:textId="025809D6" w:rsidR="00F33556" w:rsidRPr="000F1C89" w:rsidRDefault="00F33556" w:rsidP="00776DFA">
            <w:pPr>
              <w:spacing w:before="60" w:after="60"/>
              <w:ind w:left="34"/>
              <w:jc w:val="center"/>
            </w:pPr>
            <w:r>
              <w:t>As indicated in the Contract notice (</w:t>
            </w:r>
            <w:r w:rsidRPr="000367C9">
              <w:t>IV.2.7</w:t>
            </w:r>
            <w:r>
              <w:t>)</w:t>
            </w:r>
          </w:p>
        </w:tc>
        <w:tc>
          <w:tcPr>
            <w:tcW w:w="2835" w:type="dxa"/>
          </w:tcPr>
          <w:p w14:paraId="16459AB0" w14:textId="29E0DEE1" w:rsidR="00F33556" w:rsidRPr="000F1C89" w:rsidRDefault="00F33556" w:rsidP="00F33556">
            <w:pPr>
              <w:spacing w:before="60" w:after="60"/>
              <w:ind w:left="34"/>
              <w:jc w:val="center"/>
            </w:pPr>
          </w:p>
        </w:tc>
      </w:tr>
      <w:tr w:rsidR="0068234B" w:rsidRPr="000F1C89" w14:paraId="0A32782D" w14:textId="77777777" w:rsidTr="00E028A5">
        <w:trPr>
          <w:jc w:val="center"/>
        </w:trPr>
        <w:tc>
          <w:tcPr>
            <w:tcW w:w="3969" w:type="dxa"/>
            <w:shd w:val="pct10" w:color="auto" w:fill="FFFFFF"/>
          </w:tcPr>
          <w:p w14:paraId="0930D3ED"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313EE791" w14:textId="63062072" w:rsidR="0068234B" w:rsidRPr="000F1C89" w:rsidRDefault="00776DFA" w:rsidP="00776DFA">
            <w:pPr>
              <w:spacing w:before="60" w:after="60"/>
              <w:ind w:left="34"/>
              <w:jc w:val="center"/>
            </w:pPr>
            <w:r>
              <w:t>April 2022</w:t>
            </w:r>
            <w:r w:rsidR="0068234B" w:rsidRPr="000F1C89">
              <w:t xml:space="preserve"> </w:t>
            </w:r>
            <w:r w:rsidR="0068234B" w:rsidRPr="000F1C89">
              <w:rPr>
                <w:vertAlign w:val="superscript"/>
              </w:rPr>
              <w:sym w:font="Monotype Sorts" w:char="F027"/>
            </w:r>
          </w:p>
        </w:tc>
        <w:tc>
          <w:tcPr>
            <w:tcW w:w="2835" w:type="dxa"/>
          </w:tcPr>
          <w:p w14:paraId="55466F8E" w14:textId="77777777" w:rsidR="0068234B" w:rsidRPr="000F1C89" w:rsidRDefault="0068234B" w:rsidP="00AA1AE6">
            <w:pPr>
              <w:spacing w:before="60" w:after="60"/>
              <w:ind w:left="34"/>
              <w:jc w:val="center"/>
            </w:pPr>
            <w:r w:rsidRPr="000F1C89">
              <w:t>-</w:t>
            </w:r>
          </w:p>
        </w:tc>
      </w:tr>
      <w:tr w:rsidR="0068234B" w:rsidRPr="000F1C89" w14:paraId="07E74724" w14:textId="77777777" w:rsidTr="00E028A5">
        <w:trPr>
          <w:jc w:val="center"/>
        </w:trPr>
        <w:tc>
          <w:tcPr>
            <w:tcW w:w="3969" w:type="dxa"/>
            <w:shd w:val="pct10" w:color="auto" w:fill="FFFFFF"/>
          </w:tcPr>
          <w:p w14:paraId="4D3904C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1F7A1DFE" w14:textId="0F6BD96C" w:rsidR="0068234B" w:rsidRPr="000F1C89" w:rsidRDefault="00776DFA" w:rsidP="00776DFA">
            <w:pPr>
              <w:spacing w:before="60" w:after="60"/>
              <w:ind w:left="34"/>
              <w:jc w:val="center"/>
            </w:pPr>
            <w:r>
              <w:t>April 2022</w:t>
            </w:r>
            <w:r w:rsidR="0068234B" w:rsidRPr="000F1C89">
              <w:t xml:space="preserve"> </w:t>
            </w:r>
            <w:r w:rsidR="0068234B" w:rsidRPr="000F1C89">
              <w:rPr>
                <w:vertAlign w:val="superscript"/>
              </w:rPr>
              <w:sym w:font="Monotype Sorts" w:char="F027"/>
            </w:r>
          </w:p>
        </w:tc>
        <w:tc>
          <w:tcPr>
            <w:tcW w:w="2835" w:type="dxa"/>
          </w:tcPr>
          <w:p w14:paraId="2ADD53DE" w14:textId="77777777" w:rsidR="0068234B" w:rsidRPr="000F1C89" w:rsidRDefault="0068234B" w:rsidP="00AA1AE6">
            <w:pPr>
              <w:spacing w:before="60" w:after="60"/>
              <w:ind w:left="34"/>
              <w:jc w:val="center"/>
            </w:pPr>
            <w:r w:rsidRPr="000F1C89">
              <w:t>-</w:t>
            </w:r>
          </w:p>
        </w:tc>
      </w:tr>
    </w:tbl>
    <w:p w14:paraId="4EA0DB3C" w14:textId="78E7A77C" w:rsidR="0068234B" w:rsidRDefault="0068234B" w:rsidP="00617D2D">
      <w:pPr>
        <w:ind w:left="1276"/>
        <w:rPr>
          <w:b/>
        </w:rPr>
      </w:pPr>
      <w:bookmarkStart w:id="7" w:name="_Ref500317541"/>
      <w:r w:rsidRPr="000F1C89">
        <w:rPr>
          <w:b/>
        </w:rPr>
        <w:t xml:space="preserve"> </w:t>
      </w:r>
    </w:p>
    <w:p w14:paraId="0C077E9E" w14:textId="63AC2818"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14:paraId="16912381" w14:textId="1EE17DBD" w:rsidR="0068234B" w:rsidRPr="000F1C89" w:rsidRDefault="0068234B" w:rsidP="00D402EB">
      <w:pPr>
        <w:pStyle w:val="Heading2"/>
      </w:pPr>
      <w:bookmarkStart w:id="8" w:name="_Toc529523955"/>
      <w:bookmarkEnd w:id="7"/>
      <w:r w:rsidRPr="000F1C89">
        <w:t>FINANCING</w:t>
      </w:r>
      <w:bookmarkEnd w:id="8"/>
    </w:p>
    <w:p w14:paraId="2FCAC345" w14:textId="1584E7E2" w:rsidR="00776DFA" w:rsidRPr="00776DFA" w:rsidRDefault="00776DFA" w:rsidP="007F233F">
      <w:pPr>
        <w:rPr>
          <w:lang w:val="en-US"/>
        </w:rPr>
      </w:pPr>
      <w:r w:rsidRPr="00776DFA">
        <w:t xml:space="preserve">The project is financed by the European Union, in accordance with the rules of </w:t>
      </w:r>
      <w:r w:rsidRPr="00776DFA">
        <w:rPr>
          <w:lang w:val="en-US"/>
        </w:rPr>
        <w:t>Regulation</w:t>
      </w:r>
      <w:r w:rsidRPr="00776DFA">
        <w:rPr>
          <w:b/>
          <w:bCs/>
          <w:lang w:val="en-US"/>
        </w:rPr>
        <w:t xml:space="preserve"> </w:t>
      </w:r>
      <w:r w:rsidRPr="00776DFA">
        <w:rPr>
          <w:lang w:val="en-US"/>
        </w:rPr>
        <w:t xml:space="preserve">(EU)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w:t>
      </w:r>
    </w:p>
    <w:p w14:paraId="363ED5AB" w14:textId="038D1996" w:rsidR="0068234B" w:rsidRPr="000F1C89" w:rsidRDefault="00776DFA" w:rsidP="007F233F">
      <w:r w:rsidRPr="00776DFA">
        <w:t>The project is co-financed by Republic of Serbia.</w:t>
      </w:r>
    </w:p>
    <w:p w14:paraId="2397E4DA" w14:textId="65F9B326" w:rsidR="0068234B" w:rsidRPr="000F1C89" w:rsidRDefault="0068234B" w:rsidP="00D402EB">
      <w:pPr>
        <w:pStyle w:val="Heading2"/>
      </w:pPr>
      <w:bookmarkStart w:id="9" w:name="_Toc529523956"/>
      <w:r w:rsidRPr="000F1C89">
        <w:t>PARTICIPATION</w:t>
      </w:r>
      <w:bookmarkEnd w:id="9"/>
    </w:p>
    <w:p w14:paraId="68FA97C7" w14:textId="03A1A5B5" w:rsidR="00AA7E1D" w:rsidRPr="000F1C89" w:rsidRDefault="0068234B" w:rsidP="00AA7E1D">
      <w:pPr>
        <w:pStyle w:val="Heading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w:t>
      </w:r>
      <w:r w:rsidRPr="000F1C89">
        <w:lastRenderedPageBreak/>
        <w:t xml:space="preserve">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4713CECA"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w:t>
      </w:r>
      <w:proofErr w:type="gramStart"/>
      <w:r w:rsidR="00B328BF" w:rsidRPr="00B328BF">
        <w:t>exclusion</w:t>
      </w:r>
      <w:proofErr w:type="gramEnd"/>
      <w:r w:rsidR="00B328BF" w:rsidRPr="00B328BF">
        <w:t xml:space="preserve"> criteria) or </w:t>
      </w:r>
      <w:r w:rsidR="000C55DE">
        <w:t>2.6.10.1.2.</w:t>
      </w:r>
      <w:r w:rsidR="00B328BF" w:rsidRPr="00B328BF">
        <w:t xml:space="preserve"> (</w:t>
      </w:r>
      <w:proofErr w:type="gramStart"/>
      <w:r w:rsidR="00B328BF" w:rsidRPr="00B328BF">
        <w:t>rejection</w:t>
      </w:r>
      <w:proofErr w:type="gramEnd"/>
      <w:r w:rsidR="00B328BF" w:rsidRPr="00B328BF">
        <w:t xml:space="preserve">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w:t>
      </w:r>
      <w:proofErr w:type="gramStart"/>
      <w:r w:rsidRPr="000F1C89">
        <w:t>of</w:t>
      </w:r>
      <w:proofErr w:type="gramEnd"/>
      <w:r w:rsidRPr="000F1C89">
        <w:t xml:space="preserve">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Heading3"/>
        <w:numPr>
          <w:ilvl w:val="0"/>
          <w:numId w:val="0"/>
        </w:numPr>
      </w:pPr>
      <w:r w:rsidRPr="000F1C89">
        <w:t>The exclusion situation</w:t>
      </w:r>
      <w:r w:rsidR="00346EFA">
        <w:t>s</w:t>
      </w:r>
      <w:r w:rsidRPr="000F1C89">
        <w:t xml:space="preserve"> referred to in </w:t>
      </w:r>
      <w:proofErr w:type="spellStart"/>
      <w:r w:rsidRPr="000F1C89">
        <w:t>subclause</w:t>
      </w:r>
      <w:proofErr w:type="spellEnd"/>
      <w:r w:rsidRPr="000F1C89">
        <w:t xml:space="preserve"> </w:t>
      </w:r>
      <w:r w:rsidR="002A632D">
        <w:t>3.2</w:t>
      </w:r>
      <w:r w:rsidR="00346EFA">
        <w:t xml:space="preserve"> </w:t>
      </w:r>
      <w:r w:rsidRPr="000F1C89">
        <w:t>appl</w:t>
      </w:r>
      <w:r w:rsidR="007C09BB">
        <w:t>y</w:t>
      </w:r>
      <w:r w:rsidRPr="000F1C89">
        <w:t xml:space="preserve">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1E338582" w14:textId="258A1A25" w:rsidR="0068234B" w:rsidRPr="000F1C89" w:rsidRDefault="003E3265" w:rsidP="001A4D45">
      <w:pPr>
        <w:pStyle w:val="Heading3"/>
        <w:ind w:left="720"/>
        <w:rPr>
          <w:b/>
        </w:rPr>
      </w:pPr>
      <w:r>
        <w:t xml:space="preserve">Subcontracting is allowed but the contractor will retain full liability towards the contracting authority for performance of the contract as a whole. </w:t>
      </w:r>
    </w:p>
    <w:p w14:paraId="399589D1" w14:textId="69339DF4" w:rsidR="0068234B" w:rsidRPr="000F1C89" w:rsidRDefault="0068234B" w:rsidP="00D402EB">
      <w:pPr>
        <w:pStyle w:val="Heading2"/>
      </w:pPr>
      <w:bookmarkStart w:id="10" w:name="_Toc529523957"/>
      <w:r w:rsidRPr="000F1C89">
        <w:t>ONLY ONE TENDER PER TENDERER</w:t>
      </w:r>
      <w:bookmarkEnd w:id="10"/>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rsidP="00D402EB">
      <w:pPr>
        <w:pStyle w:val="Heading2"/>
      </w:pPr>
      <w:bookmarkStart w:id="11" w:name="_Toc529523958"/>
      <w:r w:rsidRPr="000F1C89">
        <w:t>TENDER EXPENSES</w:t>
      </w:r>
      <w:bookmarkEnd w:id="11"/>
    </w:p>
    <w:p w14:paraId="3077A57E" w14:textId="77777777"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rsidP="00D402EB">
      <w:pPr>
        <w:pStyle w:val="Heading2"/>
      </w:pPr>
      <w:bookmarkStart w:id="12" w:name="_Toc529523959"/>
      <w:r w:rsidRPr="000F1C89">
        <w:t xml:space="preserve">SITE </w:t>
      </w:r>
      <w:r w:rsidR="00526C2B" w:rsidRPr="000F1C89">
        <w:t>VISIT AND CLARIFICATION MEETING</w:t>
      </w:r>
      <w:bookmarkEnd w:id="12"/>
    </w:p>
    <w:p w14:paraId="73A415BF" w14:textId="430582E3" w:rsidR="00AA7E1D" w:rsidRPr="003E0D02" w:rsidRDefault="004E79B6" w:rsidP="00AA7E1D">
      <w:pPr>
        <w:pStyle w:val="Heading3"/>
        <w:ind w:left="720"/>
      </w:pPr>
      <w:r w:rsidRPr="003E0D02">
        <w:t xml:space="preserve">The tenderer is </w:t>
      </w:r>
      <w:r w:rsidR="0068234B" w:rsidRPr="003E0D02">
        <w:t xml:space="preserve">obliged to visit and inspect the site of the works and its surroundings for the purpose of assessing, at its own responsibility, expense and risk, </w:t>
      </w:r>
      <w:r w:rsidR="00A77ECC" w:rsidRPr="003E0D02">
        <w:t xml:space="preserve">the </w:t>
      </w:r>
      <w:r w:rsidR="0068234B" w:rsidRPr="003E0D02">
        <w:t>factors necessary for prepar</w:t>
      </w:r>
      <w:r w:rsidR="00A77ECC" w:rsidRPr="003E0D02">
        <w:t>ing</w:t>
      </w:r>
      <w:r w:rsidR="0068234B" w:rsidRPr="003E0D02">
        <w:t xml:space="preserve"> its tender and signing the contract for the works </w:t>
      </w:r>
      <w:r w:rsidR="006072A7" w:rsidRPr="003E0D02">
        <w:t>(</w:t>
      </w:r>
      <w:r w:rsidR="00EB7A64" w:rsidRPr="003E0D02">
        <w:t>d</w:t>
      </w:r>
      <w:r w:rsidR="0068234B" w:rsidRPr="003E0D02">
        <w:t xml:space="preserve">ate, time and place, see </w:t>
      </w:r>
      <w:r w:rsidR="001C7EB2" w:rsidRPr="003E0D02">
        <w:t xml:space="preserve">the additional information about </w:t>
      </w:r>
      <w:r w:rsidR="0068234B" w:rsidRPr="003E0D02">
        <w:t xml:space="preserve">the </w:t>
      </w:r>
      <w:r w:rsidR="001F2D2F" w:rsidRPr="003E0D02">
        <w:t>contract notice</w:t>
      </w:r>
      <w:r w:rsidR="0068234B" w:rsidRPr="003E0D02">
        <w:t>.</w:t>
      </w:r>
      <w:r w:rsidR="006072A7" w:rsidRPr="003E0D02">
        <w:t>)</w:t>
      </w:r>
      <w:r w:rsidR="00AA7E1D" w:rsidRPr="003E0D02">
        <w:t xml:space="preserve"> </w:t>
      </w:r>
    </w:p>
    <w:p w14:paraId="78E343A8" w14:textId="10B7D716" w:rsidR="00AA7E1D" w:rsidRPr="003E0D02" w:rsidRDefault="0068234B" w:rsidP="00AA7E1D">
      <w:pPr>
        <w:pStyle w:val="Heading3"/>
        <w:ind w:left="720"/>
      </w:pPr>
      <w:r w:rsidRPr="003E0D02">
        <w:t>A clarification meeting and/or a site visit will</w:t>
      </w:r>
      <w:r w:rsidR="004E79B6" w:rsidRPr="003E0D02">
        <w:t xml:space="preserve"> </w:t>
      </w:r>
      <w:r w:rsidRPr="003E0D02">
        <w:t xml:space="preserve">be held by the </w:t>
      </w:r>
      <w:r w:rsidR="00EB7A64" w:rsidRPr="003E0D02">
        <w:t>c</w:t>
      </w:r>
      <w:r w:rsidRPr="003E0D02">
        <w:t xml:space="preserve">ontracting </w:t>
      </w:r>
      <w:r w:rsidR="00EB7A64" w:rsidRPr="003E0D02">
        <w:t>a</w:t>
      </w:r>
      <w:r w:rsidRPr="003E0D02">
        <w:t xml:space="preserve">uthority </w:t>
      </w:r>
      <w:r w:rsidR="006072A7" w:rsidRPr="003E0D02">
        <w:t>(</w:t>
      </w:r>
      <w:r w:rsidR="00EB7A64" w:rsidRPr="003E0D02">
        <w:t>d</w:t>
      </w:r>
      <w:r w:rsidRPr="003E0D02">
        <w:t xml:space="preserve">ate, time and place, see </w:t>
      </w:r>
      <w:r w:rsidR="001C7EB2" w:rsidRPr="003E0D02">
        <w:t xml:space="preserve">the additional information about </w:t>
      </w:r>
      <w:r w:rsidRPr="003E0D02">
        <w:t xml:space="preserve">the </w:t>
      </w:r>
      <w:r w:rsidR="001F2D2F" w:rsidRPr="003E0D02">
        <w:t>contract notice</w:t>
      </w:r>
      <w:r w:rsidR="006072A7" w:rsidRPr="003E0D02">
        <w:t>)</w:t>
      </w:r>
      <w:r w:rsidRPr="003E0D02">
        <w:t>.</w:t>
      </w:r>
      <w:r w:rsidR="00AA7E1D" w:rsidRPr="003E0D02">
        <w:t xml:space="preserve"> </w:t>
      </w:r>
    </w:p>
    <w:p w14:paraId="0B03689C" w14:textId="34C90ED1" w:rsidR="00ED6AC2" w:rsidRPr="004E79B6" w:rsidRDefault="004E79B6" w:rsidP="00AA7E1D">
      <w:pPr>
        <w:pStyle w:val="Heading3"/>
        <w:ind w:left="720"/>
      </w:pPr>
      <w:r w:rsidRPr="004E79B6">
        <w:lastRenderedPageBreak/>
        <w:t xml:space="preserve">The minutes of the </w:t>
      </w:r>
      <w:r w:rsidR="00ED6AC2" w:rsidRPr="004E79B6">
        <w:t xml:space="preserve">clarification meeting </w:t>
      </w:r>
      <w:r w:rsidRPr="004E79B6">
        <w:t xml:space="preserve">and the site visit </w:t>
      </w:r>
      <w:r w:rsidR="00ED6AC2" w:rsidRPr="004E79B6">
        <w:t>will be published on</w:t>
      </w:r>
      <w:r w:rsidR="00BF075C" w:rsidRPr="004E79B6">
        <w:t xml:space="preserve"> TED </w:t>
      </w:r>
      <w:proofErr w:type="spellStart"/>
      <w:r w:rsidR="00BF075C" w:rsidRPr="004E79B6">
        <w:t>eTendering</w:t>
      </w:r>
      <w:proofErr w:type="spellEnd"/>
      <w:r w:rsidR="00BF075C" w:rsidRPr="004E79B6">
        <w:t xml:space="preserve"> website</w:t>
      </w:r>
      <w:r w:rsidR="00ED6AC2" w:rsidRPr="004E79B6">
        <w:rPr>
          <w:vertAlign w:val="superscript"/>
        </w:rPr>
        <w:footnoteReference w:id="1"/>
      </w:r>
      <w:r w:rsidR="00ED6AC2" w:rsidRPr="004E79B6">
        <w:t xml:space="preserve"> . As proof of participation, tenderers will receive a certificate of their site v</w:t>
      </w:r>
      <w:r w:rsidRPr="004E79B6">
        <w:t>isit</w:t>
      </w:r>
      <w:r w:rsidR="00ED6AC2" w:rsidRPr="004E79B6">
        <w:t>.</w:t>
      </w:r>
    </w:p>
    <w:p w14:paraId="53E1B406" w14:textId="1AAE966D" w:rsidR="00AA7E1D" w:rsidRPr="000F1C89" w:rsidRDefault="0048094E" w:rsidP="00D402EB">
      <w:pPr>
        <w:pStyle w:val="Heading2"/>
      </w:pPr>
      <w:bookmarkStart w:id="13" w:name="_Toc529523960"/>
      <w:r>
        <w:t xml:space="preserve">CONTENT OF </w:t>
      </w:r>
      <w:r w:rsidR="0068234B" w:rsidRPr="000F1C89">
        <w:t>TENDER DOCUMENTS</w:t>
      </w:r>
      <w:bookmarkEnd w:id="13"/>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rsidP="00D402EB">
      <w:pPr>
        <w:pStyle w:val="Heading2"/>
      </w:pPr>
      <w:bookmarkStart w:id="14" w:name="_Toc529523961"/>
      <w:r w:rsidRPr="000F1C89">
        <w:t>EXPLANATIONS CONCERNING TENDER DOCUMENTS</w:t>
      </w:r>
      <w:bookmarkEnd w:id="14"/>
    </w:p>
    <w:p w14:paraId="41061AA0" w14:textId="44AD236D" w:rsidR="00F92CF4" w:rsidRPr="004E79B6" w:rsidRDefault="001F25D6" w:rsidP="004E79B6">
      <w:pPr>
        <w:pStyle w:val="Heading3"/>
        <w:ind w:left="567" w:hanging="567"/>
      </w:pPr>
      <w:r w:rsidRPr="004E79B6">
        <w:rPr>
          <w:snapToGrid w:val="0"/>
          <w:szCs w:val="20"/>
        </w:rPr>
        <w:t xml:space="preserve">Any request for additional information must be made in writing through the TED </w:t>
      </w:r>
      <w:proofErr w:type="spellStart"/>
      <w:r w:rsidRPr="004E79B6">
        <w:rPr>
          <w:snapToGrid w:val="0"/>
          <w:szCs w:val="20"/>
        </w:rPr>
        <w:t>eTendering</w:t>
      </w:r>
      <w:proofErr w:type="spellEnd"/>
      <w:r w:rsidRPr="004E79B6">
        <w:rPr>
          <w:snapToGrid w:val="0"/>
          <w:szCs w:val="20"/>
        </w:rPr>
        <w:t xml:space="preserve"> website accessible through the F&amp;T portal at </w:t>
      </w:r>
      <w:hyperlink r:id="rId16" w:history="1">
        <w:r w:rsidRPr="004E79B6">
          <w:t>https://ec.europa.eu/info/funding-tenders/opportunities/portal/screen/home</w:t>
        </w:r>
      </w:hyperlink>
      <w:r w:rsidRPr="004E79B6">
        <w:t xml:space="preserve">. </w:t>
      </w:r>
      <w:r w:rsidRPr="004E79B6">
        <w:rPr>
          <w:snapToGrid w:val="0"/>
          <w:szCs w:val="20"/>
        </w:rPr>
        <w:t xml:space="preserve">Registration on TED </w:t>
      </w:r>
      <w:proofErr w:type="spellStart"/>
      <w:r w:rsidRPr="004E79B6">
        <w:rPr>
          <w:snapToGrid w:val="0"/>
          <w:szCs w:val="20"/>
        </w:rPr>
        <w:t>eTendering</w:t>
      </w:r>
      <w:proofErr w:type="spellEnd"/>
      <w:r w:rsidRPr="004E79B6">
        <w:rPr>
          <w:snapToGrid w:val="0"/>
          <w:szCs w:val="20"/>
        </w:rPr>
        <w:t xml:space="preserve"> is required to be able to create and submit a question. In order to request for additional information click “Create a question” in the Questions</w:t>
      </w:r>
      <w:r w:rsidR="000C270F" w:rsidRPr="004E79B6">
        <w:rPr>
          <w:snapToGrid w:val="0"/>
          <w:szCs w:val="20"/>
        </w:rPr>
        <w:t xml:space="preserve"> </w:t>
      </w:r>
      <w:r w:rsidRPr="004E79B6">
        <w:rPr>
          <w:snapToGrid w:val="0"/>
          <w:szCs w:val="20"/>
        </w:rPr>
        <w:t>&amp;</w:t>
      </w:r>
      <w:r w:rsidR="000C270F" w:rsidRPr="004E79B6">
        <w:rPr>
          <w:snapToGrid w:val="0"/>
          <w:szCs w:val="20"/>
        </w:rPr>
        <w:t xml:space="preserve"> </w:t>
      </w:r>
      <w:r w:rsidRPr="004E79B6">
        <w:rPr>
          <w:snapToGrid w:val="0"/>
          <w:szCs w:val="20"/>
        </w:rPr>
        <w:t xml:space="preserve">Answers tab at the latest 21 days before the deadline for submission of tenders stated at section </w:t>
      </w:r>
      <w:r w:rsidRPr="004E79B6">
        <w:t>IV.2.2) of the contract notice</w:t>
      </w:r>
      <w:r w:rsidRPr="004E79B6">
        <w:rPr>
          <w:snapToGrid w:val="0"/>
          <w:szCs w:val="20"/>
        </w:rPr>
        <w:t xml:space="preserve">. </w:t>
      </w:r>
      <w:r w:rsidR="0068234B" w:rsidRPr="004E79B6">
        <w:rPr>
          <w:snapToGrid w:val="0"/>
          <w:szCs w:val="20"/>
        </w:rPr>
        <w:t xml:space="preserve">The </w:t>
      </w:r>
      <w:r w:rsidR="00EB7A64" w:rsidRPr="004E79B6">
        <w:rPr>
          <w:snapToGrid w:val="0"/>
          <w:szCs w:val="20"/>
        </w:rPr>
        <w:t>c</w:t>
      </w:r>
      <w:r w:rsidR="0068234B" w:rsidRPr="004E79B6">
        <w:rPr>
          <w:snapToGrid w:val="0"/>
          <w:szCs w:val="20"/>
        </w:rPr>
        <w:t xml:space="preserve">ontracting </w:t>
      </w:r>
      <w:r w:rsidR="00EB7A64" w:rsidRPr="004E79B6">
        <w:rPr>
          <w:snapToGrid w:val="0"/>
          <w:szCs w:val="20"/>
        </w:rPr>
        <w:t>a</w:t>
      </w:r>
      <w:r w:rsidR="0068234B" w:rsidRPr="004E79B6">
        <w:rPr>
          <w:snapToGrid w:val="0"/>
          <w:szCs w:val="20"/>
        </w:rPr>
        <w:t xml:space="preserve">uthority has no obligation to provide </w:t>
      </w:r>
      <w:r w:rsidR="000733A0" w:rsidRPr="004E79B6">
        <w:rPr>
          <w:snapToGrid w:val="0"/>
          <w:szCs w:val="20"/>
        </w:rPr>
        <w:t xml:space="preserve">clarification on questions received </w:t>
      </w:r>
      <w:r w:rsidR="0068234B" w:rsidRPr="004E79B6">
        <w:rPr>
          <w:snapToGrid w:val="0"/>
          <w:szCs w:val="20"/>
        </w:rPr>
        <w:t>after this date.</w:t>
      </w:r>
    </w:p>
    <w:p w14:paraId="7C051B19" w14:textId="237BB422" w:rsidR="0068234B" w:rsidRPr="004E79B6" w:rsidRDefault="0068234B" w:rsidP="00D2731E">
      <w:pPr>
        <w:rPr>
          <w:bCs/>
        </w:rPr>
      </w:pPr>
      <w:r w:rsidRPr="004E79B6">
        <w:t xml:space="preserve">The </w:t>
      </w:r>
      <w:r w:rsidR="00EB7A64" w:rsidRPr="004E79B6">
        <w:t>c</w:t>
      </w:r>
      <w:r w:rsidRPr="004E79B6">
        <w:t xml:space="preserve">ontracting </w:t>
      </w:r>
      <w:r w:rsidR="00EB7A64" w:rsidRPr="004E79B6">
        <w:t>a</w:t>
      </w:r>
      <w:r w:rsidRPr="004E79B6">
        <w:t>uthority must reply to all tenderers</w:t>
      </w:r>
      <w:r w:rsidR="00E725FE" w:rsidRPr="004E79B6">
        <w:t>’</w:t>
      </w:r>
      <w:r w:rsidRPr="004E79B6">
        <w:t xml:space="preserve"> questions at least </w:t>
      </w:r>
      <w:r w:rsidR="00FB10F5" w:rsidRPr="004E79B6">
        <w:t xml:space="preserve">8 </w:t>
      </w:r>
      <w:r w:rsidRPr="004E79B6">
        <w:t>days before the deadline for receipt of tenders.</w:t>
      </w:r>
      <w:r w:rsidRPr="004E79B6">
        <w:rPr>
          <w:snapToGrid/>
        </w:rPr>
        <w:t xml:space="preserve"> </w:t>
      </w:r>
    </w:p>
    <w:p w14:paraId="6AED87C3" w14:textId="268EFE93" w:rsidR="0068234B" w:rsidRPr="004E79B6" w:rsidRDefault="0068234B" w:rsidP="001F25D6">
      <w:pPr>
        <w:pStyle w:val="Heading3"/>
        <w:ind w:left="567" w:hanging="567"/>
      </w:pPr>
      <w:r w:rsidRPr="004E79B6">
        <w:t xml:space="preserve">The questions and answers </w:t>
      </w:r>
      <w:r w:rsidR="00C36442" w:rsidRPr="004E79B6">
        <w:t xml:space="preserve">will be published on TED </w:t>
      </w:r>
      <w:proofErr w:type="spellStart"/>
      <w:r w:rsidR="00C36442" w:rsidRPr="004E79B6">
        <w:t>eTendering</w:t>
      </w:r>
      <w:proofErr w:type="spellEnd"/>
      <w:r w:rsidR="00C36442" w:rsidRPr="004E79B6">
        <w:t xml:space="preserve"> </w:t>
      </w:r>
      <w:r w:rsidR="004E79B6" w:rsidRPr="004E79B6">
        <w:t>and</w:t>
      </w:r>
      <w:r w:rsidR="006072A7" w:rsidRPr="004E79B6">
        <w:t xml:space="preserve"> </w:t>
      </w:r>
      <w:r w:rsidR="004E79B6" w:rsidRPr="004E79B6">
        <w:t>on</w:t>
      </w:r>
      <w:r w:rsidR="004E79B6" w:rsidRPr="004E79B6">
        <w:rPr>
          <w:lang w:val="en-US"/>
        </w:rPr>
        <w:t xml:space="preserve"> CFCU website at </w:t>
      </w:r>
      <w:hyperlink r:id="rId17" w:history="1">
        <w:r w:rsidR="004E79B6" w:rsidRPr="004E79B6">
          <w:rPr>
            <w:rStyle w:val="Hyperlink"/>
            <w:lang w:val="en-US"/>
          </w:rPr>
          <w:t>http://www.cfcu.gov.rs/tenderi.php</w:t>
        </w:r>
      </w:hyperlink>
      <w:r w:rsidR="004E79B6" w:rsidRPr="004E79B6">
        <w:rPr>
          <w:rStyle w:val="Hyperlink"/>
          <w:lang w:val="en-US"/>
        </w:rPr>
        <w:t xml:space="preserve">. </w:t>
      </w:r>
      <w:r w:rsidR="001F25D6" w:rsidRPr="004E79B6">
        <w:t>The website will be updated regularly and it is the tenderer’s responsibility to check for updates and modifications during the submission period.</w:t>
      </w:r>
    </w:p>
    <w:p w14:paraId="357E4372" w14:textId="3635B5C4" w:rsidR="0068234B" w:rsidRDefault="0068234B" w:rsidP="00D402EB">
      <w:pPr>
        <w:pStyle w:val="Heading2"/>
      </w:pPr>
      <w:bookmarkStart w:id="15" w:name="_Toc529523962"/>
      <w:r w:rsidRPr="00CF7668">
        <w:t>MODIFICATIONS O</w:t>
      </w:r>
      <w:r w:rsidR="002C5329">
        <w:t>F</w:t>
      </w:r>
      <w:r w:rsidRPr="00CF7668">
        <w:t xml:space="preserve"> TENDER DOCUMENTS</w:t>
      </w:r>
      <w:bookmarkEnd w:id="15"/>
    </w:p>
    <w:p w14:paraId="1A8DB5AA" w14:textId="2926A963" w:rsidR="00CF7668" w:rsidRPr="000F1C89" w:rsidRDefault="00CF7668" w:rsidP="00CF7668">
      <w:pPr>
        <w:pStyle w:val="Heading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4B5C9BCA" w:rsidR="00CF7668" w:rsidRPr="004E79B6" w:rsidRDefault="00CF7668" w:rsidP="004E79B6">
      <w:pPr>
        <w:pStyle w:val="Heading3"/>
        <w:ind w:left="720" w:hanging="731"/>
      </w:pPr>
      <w:r w:rsidRPr="004E79B6">
        <w:t xml:space="preserve">Each modification published will constitute a part of the tender documents and will be published on TED </w:t>
      </w:r>
      <w:proofErr w:type="spellStart"/>
      <w:r w:rsidRPr="004E79B6">
        <w:t>eTendering</w:t>
      </w:r>
      <w:proofErr w:type="spellEnd"/>
      <w:r w:rsidRPr="004E79B6">
        <w:t xml:space="preserve"> accessible from the F&amp;T portal at https://ec.europa.eu/info/funding-tenders/opportunities/portal/screen/home</w:t>
      </w:r>
      <w:r w:rsidRPr="004E79B6" w:rsidDel="00C36442">
        <w:t xml:space="preserve"> </w:t>
      </w:r>
      <w:r w:rsidRPr="004E79B6">
        <w:t xml:space="preserve">and </w:t>
      </w:r>
      <w:r w:rsidR="004E79B6" w:rsidRPr="004E79B6">
        <w:t>on the CFCU website at http://www.cfcu.gov.rs/tenderi.php</w:t>
      </w:r>
      <w:r w:rsidRPr="004E79B6">
        <w:t>.</w:t>
      </w:r>
      <w:r w:rsidR="004E79B6" w:rsidRPr="004E79B6">
        <w:t xml:space="preserve"> </w:t>
      </w:r>
    </w:p>
    <w:p w14:paraId="268619F6" w14:textId="77777777" w:rsidR="00CF7668" w:rsidRPr="000F1C89" w:rsidRDefault="00CF7668" w:rsidP="00CF7668">
      <w:pPr>
        <w:pStyle w:val="Heading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Heading1"/>
        <w:numPr>
          <w:ilvl w:val="0"/>
          <w:numId w:val="0"/>
        </w:numPr>
        <w:ind w:left="432"/>
      </w:pPr>
      <w:r w:rsidRPr="000F1C89">
        <w:lastRenderedPageBreak/>
        <w:t>TENDER PREPARATION</w:t>
      </w:r>
    </w:p>
    <w:p w14:paraId="0A063CFF" w14:textId="45C52847" w:rsidR="00CF7668" w:rsidRPr="00CF7668" w:rsidRDefault="0068234B" w:rsidP="00D402EB">
      <w:pPr>
        <w:pStyle w:val="Heading2"/>
      </w:pPr>
      <w:bookmarkStart w:id="16" w:name="_Toc529523964"/>
      <w:r w:rsidRPr="00CF7668">
        <w:t>LANGUAGE OF TENDERS</w:t>
      </w:r>
      <w:bookmarkEnd w:id="16"/>
    </w:p>
    <w:p w14:paraId="7C03FEA9" w14:textId="1EE1832D" w:rsidR="00CF7668" w:rsidRPr="00CF7668" w:rsidRDefault="0068234B">
      <w:pPr>
        <w:pStyle w:val="Heading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pPr>
        <w:pStyle w:val="Heading3"/>
        <w:ind w:left="720"/>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14:paraId="0F219FA6" w14:textId="4C72097F" w:rsidR="0068234B" w:rsidRPr="000F1C89" w:rsidRDefault="00224FA5" w:rsidP="00D402EB">
      <w:pPr>
        <w:pStyle w:val="Heading2"/>
      </w:pPr>
      <w:bookmarkStart w:id="17" w:name="_Toc529523965"/>
      <w:r>
        <w:t xml:space="preserve"> </w:t>
      </w:r>
      <w:r w:rsidR="0068234B" w:rsidRPr="000F1C89">
        <w:t>CONTENT AND PRESENTATION OF TENDER</w:t>
      </w:r>
      <w:bookmarkEnd w:id="17"/>
    </w:p>
    <w:p w14:paraId="17F65223" w14:textId="77777777" w:rsidR="0068234B" w:rsidRPr="000F1C89" w:rsidRDefault="0068234B" w:rsidP="000A7BE8">
      <w:pPr>
        <w:pStyle w:val="Heading3"/>
        <w:ind w:left="720"/>
      </w:pPr>
      <w:r w:rsidRPr="000F1C89">
        <w:t>Tenders must satisfy the following conditions:</w:t>
      </w:r>
    </w:p>
    <w:p w14:paraId="5FB9D058" w14:textId="77777777" w:rsidR="0068234B" w:rsidRPr="000F1C89" w:rsidRDefault="0068234B" w:rsidP="001D55A9">
      <w:pPr>
        <w:pStyle w:val="Heading4"/>
      </w:pPr>
      <w:r w:rsidRPr="000F1C89">
        <w:t xml:space="preserve">Tenders must comprise the documents and information in </w:t>
      </w:r>
      <w:r w:rsidR="007B2220">
        <w:t>C</w:t>
      </w:r>
      <w:r w:rsidRPr="000F1C89">
        <w:t>lause 12 below.</w:t>
      </w:r>
    </w:p>
    <w:p w14:paraId="767AB2AE" w14:textId="77777777"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5C25C0EF" w14:textId="77777777"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14:paraId="2F677741" w14:textId="77777777"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2CD24BFC" w14:textId="54E005D2" w:rsidR="0068234B" w:rsidRPr="002A2676" w:rsidRDefault="006072A7" w:rsidP="009C1E79">
      <w:pPr>
        <w:pStyle w:val="Heading3"/>
        <w:ind w:left="720"/>
      </w:pPr>
      <w:r w:rsidRPr="002A2676">
        <w:t>T</w:t>
      </w:r>
      <w:r w:rsidR="0068234B" w:rsidRPr="002A2676">
        <w:t>he tenderer may submit a tender for one lot only</w:t>
      </w:r>
      <w:r w:rsidR="002A2676" w:rsidRPr="002A2676">
        <w:t xml:space="preserve"> </w:t>
      </w:r>
      <w:r w:rsidR="0068234B" w:rsidRPr="002A2676">
        <w:t>or all of the lots.</w:t>
      </w:r>
    </w:p>
    <w:p w14:paraId="1AB9C2FD" w14:textId="77777777" w:rsidR="0068234B" w:rsidRPr="002A2676" w:rsidRDefault="0068234B" w:rsidP="001D55A9">
      <w:pPr>
        <w:pStyle w:val="Heading4"/>
      </w:pPr>
      <w:r w:rsidRPr="002A2676">
        <w:t xml:space="preserve">Each lot will form a separate contract and the quantities indicated for different lots will be indivisible. The tenderer must offer the </w:t>
      </w:r>
      <w:r w:rsidR="00664730" w:rsidRPr="002A2676">
        <w:t>entire</w:t>
      </w:r>
      <w:r w:rsidRPr="002A2676">
        <w:t xml:space="preserve"> quantity or quantities indicated for each lot. Under no circumstances will tenders for part of the quantities required be taken into consideration.</w:t>
      </w:r>
    </w:p>
    <w:p w14:paraId="637A1F7A" w14:textId="552DE9A5" w:rsidR="0068234B" w:rsidRPr="002A2676" w:rsidRDefault="0068234B" w:rsidP="001D55A9">
      <w:pPr>
        <w:pStyle w:val="Heading4"/>
      </w:pPr>
      <w:r w:rsidRPr="002A2676">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14:paraId="5F1674AB" w14:textId="2A497018" w:rsidR="0068234B" w:rsidRPr="002A2676" w:rsidRDefault="0068234B" w:rsidP="001D55A9">
      <w:pPr>
        <w:pStyle w:val="Heading4"/>
      </w:pPr>
      <w:r w:rsidRPr="002A2676">
        <w:t xml:space="preserve">Contracts will be awarded lot by lot, but the </w:t>
      </w:r>
      <w:r w:rsidR="00EB7A64" w:rsidRPr="002A2676">
        <w:t>c</w:t>
      </w:r>
      <w:r w:rsidRPr="002A2676">
        <w:t xml:space="preserve">ontracting </w:t>
      </w:r>
      <w:r w:rsidR="00EB7A64" w:rsidRPr="002A2676">
        <w:t>a</w:t>
      </w:r>
      <w:r w:rsidRPr="002A2676">
        <w:t>uthority must choose the most favourable overall solution taking account of the discoun</w:t>
      </w:r>
      <w:r w:rsidR="002A2676" w:rsidRPr="002A2676">
        <w:t>ts offered.</w:t>
      </w:r>
    </w:p>
    <w:p w14:paraId="7B86ACCB" w14:textId="77777777" w:rsidR="0068234B" w:rsidRPr="000F1C89" w:rsidRDefault="0068234B" w:rsidP="00D402EB">
      <w:pPr>
        <w:pStyle w:val="Heading2"/>
      </w:pPr>
      <w:bookmarkStart w:id="18" w:name="_Toc529523966"/>
      <w:r w:rsidRPr="000F1C89">
        <w:t>INFORMATION/DOCUMENTS TO BE SUPPLIED BY THE TENDERER</w:t>
      </w:r>
      <w:bookmarkEnd w:id="18"/>
    </w:p>
    <w:p w14:paraId="28251760"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6577BC9A" w14:textId="6E154FB5" w:rsidR="002A2676" w:rsidRPr="002A2676" w:rsidRDefault="0068234B" w:rsidP="002A2676">
      <w:pPr>
        <w:pStyle w:val="Heading4"/>
      </w:pPr>
      <w:r w:rsidRPr="000F1C89">
        <w:lastRenderedPageBreak/>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2"/>
      </w:r>
      <w:r w:rsidR="00983665" w:rsidRPr="000F1C89">
        <w:t xml:space="preserve"> </w:t>
      </w:r>
      <w:r w:rsidR="002A2676" w:rsidRPr="002A2676">
        <w:t>and its Annex 2 ‘Appendix’, using the form provided in Volume 1, Section 2;</w:t>
      </w:r>
      <w:r w:rsidR="002A2676" w:rsidRPr="002A2676">
        <w:tab/>
      </w:r>
      <w:proofErr w:type="gramStart"/>
      <w:r w:rsidR="002A2676" w:rsidRPr="002A2676">
        <w:t>A</w:t>
      </w:r>
      <w:proofErr w:type="gramEnd"/>
      <w:r w:rsidR="002A2676" w:rsidRPr="002A2676">
        <w:t xml:space="preserve"> copy of the signed original Declaration shall be submitted. The original shall be kept by the tenderer and might be requeste</w:t>
      </w:r>
      <w:r w:rsidR="002A2676">
        <w:t>d by the Contracting Authority.</w:t>
      </w:r>
    </w:p>
    <w:p w14:paraId="0CF2B178" w14:textId="5271445B" w:rsidR="0068234B" w:rsidRPr="000F1C89" w:rsidRDefault="0068234B" w:rsidP="002A2676">
      <w:pPr>
        <w:pStyle w:val="Heading4"/>
      </w:pPr>
      <w:r w:rsidRPr="000F1C89">
        <w:t>Documentation as required in the questionnaire in Volume 1, Section 4, including all forms attached;</w:t>
      </w:r>
    </w:p>
    <w:p w14:paraId="558F031D" w14:textId="77777777" w:rsidR="0068234B" w:rsidRPr="000F1C89" w:rsidRDefault="0068234B" w:rsidP="001D55A9">
      <w:pPr>
        <w:pStyle w:val="Heading4"/>
      </w:pPr>
      <w:r w:rsidRPr="000F1C89">
        <w:t>The forms provided in Volume 4:</w:t>
      </w:r>
    </w:p>
    <w:p w14:paraId="14ECA549" w14:textId="77777777" w:rsidR="002A2676" w:rsidRPr="00CA4728" w:rsidRDefault="002A2676" w:rsidP="009C1E79">
      <w:pPr>
        <w:pStyle w:val="ListParagraph"/>
        <w:numPr>
          <w:ilvl w:val="0"/>
          <w:numId w:val="20"/>
        </w:numPr>
        <w:ind w:left="1350" w:hanging="270"/>
        <w:jc w:val="both"/>
        <w:rPr>
          <w:rFonts w:ascii="Times New Roman" w:hAnsi="Times New Roman"/>
        </w:rPr>
      </w:pPr>
      <w:r w:rsidRPr="00CA4728">
        <w:rPr>
          <w:rFonts w:ascii="Times New Roman" w:hAnsi="Times New Roman"/>
        </w:rPr>
        <w:t xml:space="preserve">Lot 1- Construction of WWTP </w:t>
      </w:r>
      <w:proofErr w:type="spellStart"/>
      <w:r w:rsidRPr="00CA4728">
        <w:rPr>
          <w:rFonts w:ascii="Times New Roman" w:hAnsi="Times New Roman"/>
        </w:rPr>
        <w:t>Ciganski</w:t>
      </w:r>
      <w:proofErr w:type="spellEnd"/>
      <w:r w:rsidRPr="00CA4728">
        <w:rPr>
          <w:rFonts w:ascii="Times New Roman" w:hAnsi="Times New Roman"/>
        </w:rPr>
        <w:t xml:space="preserve"> </w:t>
      </w:r>
      <w:proofErr w:type="spellStart"/>
      <w:r w:rsidRPr="00CA4728">
        <w:rPr>
          <w:rFonts w:ascii="Times New Roman" w:hAnsi="Times New Roman"/>
        </w:rPr>
        <w:t>Ključ</w:t>
      </w:r>
      <w:proofErr w:type="spellEnd"/>
      <w:r w:rsidRPr="00CA4728">
        <w:rPr>
          <w:rFonts w:ascii="Times New Roman" w:hAnsi="Times New Roman"/>
        </w:rPr>
        <w:t xml:space="preserve"> and Wastewater treatment at WTP </w:t>
      </w:r>
      <w:proofErr w:type="spellStart"/>
      <w:r w:rsidRPr="00CA4728">
        <w:rPr>
          <w:rFonts w:ascii="Times New Roman" w:hAnsi="Times New Roman"/>
        </w:rPr>
        <w:t>Mediana</w:t>
      </w:r>
      <w:proofErr w:type="spellEnd"/>
    </w:p>
    <w:p w14:paraId="558D9A3D" w14:textId="77777777" w:rsidR="002A2676" w:rsidRPr="00CA4728" w:rsidRDefault="002A2676" w:rsidP="002A2676">
      <w:pPr>
        <w:ind w:left="1134" w:firstLine="720"/>
        <w:rPr>
          <w:szCs w:val="22"/>
        </w:rPr>
      </w:pPr>
    </w:p>
    <w:p w14:paraId="34630342" w14:textId="77777777" w:rsidR="002A2676" w:rsidRPr="00CA4728" w:rsidRDefault="002A2676" w:rsidP="002A2676">
      <w:pPr>
        <w:ind w:left="1134" w:firstLine="720"/>
        <w:rPr>
          <w:szCs w:val="22"/>
        </w:rPr>
      </w:pPr>
      <w:r w:rsidRPr="00CA4728">
        <w:rPr>
          <w:szCs w:val="22"/>
        </w:rPr>
        <w:t>Volume 4.2.</w:t>
      </w:r>
      <w:r>
        <w:rPr>
          <w:szCs w:val="22"/>
        </w:rPr>
        <w:t>9</w:t>
      </w:r>
      <w:r w:rsidRPr="00CA4728">
        <w:rPr>
          <w:szCs w:val="22"/>
        </w:rPr>
        <w:t xml:space="preserve"> — Summary;</w:t>
      </w:r>
    </w:p>
    <w:p w14:paraId="5580C06F" w14:textId="77777777" w:rsidR="002A2676" w:rsidRPr="00CA4728" w:rsidRDefault="002A2676" w:rsidP="002A2676">
      <w:pPr>
        <w:ind w:left="1134" w:firstLine="720"/>
        <w:rPr>
          <w:szCs w:val="22"/>
        </w:rPr>
      </w:pPr>
      <w:r>
        <w:rPr>
          <w:szCs w:val="22"/>
        </w:rPr>
        <w:t>Volume 4.2.10</w:t>
      </w:r>
      <w:r w:rsidRPr="00CA4728">
        <w:rPr>
          <w:szCs w:val="22"/>
        </w:rPr>
        <w:t xml:space="preserve"> — Breakdown of the lump-sum price;</w:t>
      </w:r>
    </w:p>
    <w:p w14:paraId="47634AC6" w14:textId="77777777" w:rsidR="002A2676" w:rsidRPr="00CA4728" w:rsidRDefault="002A2676" w:rsidP="002A2676">
      <w:pPr>
        <w:tabs>
          <w:tab w:val="left" w:pos="5760"/>
        </w:tabs>
        <w:ind w:left="1134" w:firstLine="720"/>
        <w:rPr>
          <w:szCs w:val="22"/>
        </w:rPr>
      </w:pPr>
      <w:r>
        <w:rPr>
          <w:szCs w:val="22"/>
        </w:rPr>
        <w:t>Volume 4.2.13</w:t>
      </w:r>
      <w:r w:rsidRPr="00CA4728">
        <w:rPr>
          <w:szCs w:val="22"/>
        </w:rPr>
        <w:t xml:space="preserve"> — </w:t>
      </w:r>
      <w:proofErr w:type="gramStart"/>
      <w:r w:rsidRPr="00CA4728">
        <w:rPr>
          <w:szCs w:val="22"/>
        </w:rPr>
        <w:t>Daily</w:t>
      </w:r>
      <w:proofErr w:type="gramEnd"/>
      <w:r w:rsidRPr="00CA4728">
        <w:rPr>
          <w:szCs w:val="22"/>
        </w:rPr>
        <w:t xml:space="preserve"> work schedule;</w:t>
      </w:r>
      <w:r w:rsidRPr="00CA4728">
        <w:rPr>
          <w:szCs w:val="22"/>
        </w:rPr>
        <w:tab/>
      </w:r>
    </w:p>
    <w:p w14:paraId="47386FB6" w14:textId="77777777" w:rsidR="002A2676" w:rsidRPr="000F1C89" w:rsidRDefault="002A2676" w:rsidP="002A2676">
      <w:pPr>
        <w:ind w:left="1134"/>
        <w:rPr>
          <w:szCs w:val="22"/>
        </w:rPr>
      </w:pPr>
      <w:r w:rsidRPr="00671050">
        <w:rPr>
          <w:szCs w:val="22"/>
        </w:rPr>
        <w:t>The breakdown of the lump-sum price and the detailed breakdown of prices do not derogate in any way to the clause stating that, in a lump-sum contract, the total contract price remains fixed irrespective of the quantity of work actually carried out.</w:t>
      </w:r>
      <w:r>
        <w:rPr>
          <w:szCs w:val="22"/>
        </w:rPr>
        <w:t xml:space="preserve"> </w:t>
      </w:r>
    </w:p>
    <w:p w14:paraId="5B227487" w14:textId="77777777" w:rsidR="002A2676" w:rsidRPr="00671050" w:rsidRDefault="002A2676" w:rsidP="009C1E79">
      <w:pPr>
        <w:pStyle w:val="ListParagraph"/>
        <w:numPr>
          <w:ilvl w:val="0"/>
          <w:numId w:val="20"/>
        </w:numPr>
        <w:ind w:left="1350" w:hanging="270"/>
        <w:jc w:val="both"/>
        <w:rPr>
          <w:rFonts w:ascii="Times New Roman" w:hAnsi="Times New Roman"/>
        </w:rPr>
      </w:pPr>
      <w:r>
        <w:rPr>
          <w:rFonts w:ascii="Times New Roman" w:hAnsi="Times New Roman"/>
        </w:rPr>
        <w:t>Lot 2</w:t>
      </w:r>
      <w:r w:rsidRPr="00671050">
        <w:rPr>
          <w:rFonts w:ascii="Times New Roman" w:hAnsi="Times New Roman"/>
        </w:rPr>
        <w:t>- Construction and rehabilitation of collectors with pumping stations and construction of sewage network</w:t>
      </w:r>
    </w:p>
    <w:p w14:paraId="53DD4FF6" w14:textId="77777777" w:rsidR="002A2676" w:rsidRPr="002A2676" w:rsidRDefault="002A2676" w:rsidP="002A2676">
      <w:pPr>
        <w:ind w:left="1134" w:firstLine="720"/>
        <w:rPr>
          <w:szCs w:val="22"/>
          <w:highlight w:val="lightGray"/>
        </w:rPr>
      </w:pPr>
    </w:p>
    <w:p w14:paraId="6C515FF0" w14:textId="77777777" w:rsidR="002A2676" w:rsidRPr="00CA4728" w:rsidRDefault="002A2676" w:rsidP="002A2676">
      <w:pPr>
        <w:ind w:left="1134" w:firstLine="720"/>
        <w:rPr>
          <w:szCs w:val="22"/>
        </w:rPr>
      </w:pPr>
      <w:r>
        <w:rPr>
          <w:szCs w:val="22"/>
        </w:rPr>
        <w:t>Volume 4.3.6</w:t>
      </w:r>
      <w:r w:rsidRPr="00CA4728">
        <w:rPr>
          <w:szCs w:val="22"/>
        </w:rPr>
        <w:t xml:space="preserve"> — Bill of quantities;</w:t>
      </w:r>
    </w:p>
    <w:p w14:paraId="08DA76A6" w14:textId="77777777" w:rsidR="002A2676" w:rsidRPr="00CA4728" w:rsidRDefault="002A2676" w:rsidP="002A2676">
      <w:pPr>
        <w:ind w:left="1134" w:firstLine="720"/>
        <w:rPr>
          <w:szCs w:val="22"/>
        </w:rPr>
      </w:pPr>
      <w:r>
        <w:rPr>
          <w:szCs w:val="22"/>
        </w:rPr>
        <w:t>Volume 4.3.7</w:t>
      </w:r>
      <w:r w:rsidRPr="00CA4728">
        <w:rPr>
          <w:szCs w:val="22"/>
        </w:rPr>
        <w:t xml:space="preserve"> —</w:t>
      </w:r>
      <w:r>
        <w:rPr>
          <w:szCs w:val="22"/>
        </w:rPr>
        <w:t xml:space="preserve"> Price schedule</w:t>
      </w:r>
      <w:r w:rsidRPr="00CA4728">
        <w:rPr>
          <w:szCs w:val="22"/>
        </w:rPr>
        <w:t>;</w:t>
      </w:r>
    </w:p>
    <w:p w14:paraId="4006668B" w14:textId="77777777" w:rsidR="002A2676" w:rsidRPr="00CA4728" w:rsidRDefault="002A2676" w:rsidP="002A2676">
      <w:pPr>
        <w:tabs>
          <w:tab w:val="left" w:pos="5760"/>
        </w:tabs>
        <w:ind w:left="1134" w:firstLine="720"/>
        <w:rPr>
          <w:szCs w:val="22"/>
        </w:rPr>
      </w:pPr>
      <w:r>
        <w:rPr>
          <w:szCs w:val="22"/>
        </w:rPr>
        <w:t>Volume 4.3.8</w:t>
      </w:r>
      <w:r w:rsidRPr="00CA4728">
        <w:rPr>
          <w:szCs w:val="22"/>
        </w:rPr>
        <w:t xml:space="preserve"> — Daily work</w:t>
      </w:r>
      <w:r>
        <w:rPr>
          <w:szCs w:val="22"/>
        </w:rPr>
        <w:t>s</w:t>
      </w:r>
      <w:r w:rsidRPr="00CA4728">
        <w:rPr>
          <w:szCs w:val="22"/>
        </w:rPr>
        <w:t xml:space="preserve"> schedule;</w:t>
      </w:r>
      <w:r w:rsidRPr="00CA4728">
        <w:rPr>
          <w:szCs w:val="22"/>
        </w:rPr>
        <w:tab/>
      </w:r>
    </w:p>
    <w:p w14:paraId="5098AABA" w14:textId="77777777" w:rsidR="002A2676" w:rsidRPr="00CA4728" w:rsidRDefault="002A2676" w:rsidP="002A2676">
      <w:pPr>
        <w:ind w:left="1134" w:firstLine="720"/>
        <w:rPr>
          <w:szCs w:val="22"/>
        </w:rPr>
      </w:pPr>
      <w:r>
        <w:rPr>
          <w:szCs w:val="22"/>
        </w:rPr>
        <w:t>Volume 4.3.9</w:t>
      </w:r>
      <w:r w:rsidRPr="00CA4728">
        <w:rPr>
          <w:szCs w:val="22"/>
        </w:rPr>
        <w:t xml:space="preserve"> — Detailed breakdown of prices.</w:t>
      </w:r>
    </w:p>
    <w:p w14:paraId="0BDA7F4F" w14:textId="77777777" w:rsidR="002A2676" w:rsidRPr="002A2676" w:rsidRDefault="002A2676" w:rsidP="002A2676">
      <w:pPr>
        <w:ind w:left="1134" w:firstLine="720"/>
        <w:rPr>
          <w:szCs w:val="22"/>
          <w:highlight w:val="lightGray"/>
        </w:rPr>
      </w:pPr>
    </w:p>
    <w:p w14:paraId="5852B617" w14:textId="782079A0" w:rsidR="002A2676" w:rsidRPr="00110522" w:rsidRDefault="002A2676" w:rsidP="002A2676">
      <w:pPr>
        <w:ind w:left="1170"/>
      </w:pPr>
      <w:r>
        <w:t xml:space="preserve">Financial Bid may include either Lot 1 or Lot 2 or may be comprised of both Lot 1 and Lot 2. </w:t>
      </w:r>
    </w:p>
    <w:p w14:paraId="1A38C0DE" w14:textId="77777777"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0E4BCAC9" w14:textId="77777777"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3894BCC6" w14:textId="77777777" w:rsidR="00AE0CD4" w:rsidRPr="000F1C89" w:rsidRDefault="0068234B" w:rsidP="009C1E79">
      <w:pPr>
        <w:numPr>
          <w:ilvl w:val="0"/>
          <w:numId w:val="6"/>
        </w:numPr>
        <w:ind w:left="2552"/>
      </w:pPr>
      <w:r w:rsidRPr="000F1C89">
        <w:t>general information about the tenderer (Form 4.1)</w:t>
      </w:r>
    </w:p>
    <w:p w14:paraId="3D1AD6B7" w14:textId="77777777" w:rsidR="0068234B" w:rsidRPr="000F1C89" w:rsidRDefault="0068234B" w:rsidP="009C1E79">
      <w:pPr>
        <w:numPr>
          <w:ilvl w:val="0"/>
          <w:numId w:val="6"/>
        </w:numPr>
        <w:ind w:left="2552"/>
      </w:pPr>
      <w:r w:rsidRPr="000F1C89">
        <w:t>organisation chart (Form 4.2)</w:t>
      </w:r>
    </w:p>
    <w:p w14:paraId="49ABFBB4" w14:textId="77777777" w:rsidR="0068234B" w:rsidRPr="000F1C89" w:rsidRDefault="0068234B" w:rsidP="009C1E79">
      <w:pPr>
        <w:numPr>
          <w:ilvl w:val="0"/>
          <w:numId w:val="6"/>
        </w:numPr>
        <w:ind w:left="2552"/>
      </w:pPr>
      <w:proofErr w:type="gramStart"/>
      <w:r w:rsidRPr="000F1C89">
        <w:t>power</w:t>
      </w:r>
      <w:proofErr w:type="gramEnd"/>
      <w:r w:rsidRPr="000F1C89">
        <w:t xml:space="preserve"> of attorney (Form 4.3).</w:t>
      </w:r>
    </w:p>
    <w:p w14:paraId="65E3FE55" w14:textId="77777777"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w:t>
      </w:r>
      <w:proofErr w:type="gramStart"/>
      <w:r w:rsidRPr="000F1C89">
        <w:t>Financial</w:t>
      </w:r>
      <w:proofErr w:type="gramEnd"/>
      <w:r w:rsidRPr="000F1C89">
        <w:t xml:space="preserve"> statement, in Volume 1, Section 4 of the tender documents.</w:t>
      </w:r>
    </w:p>
    <w:p w14:paraId="76A0E9D4" w14:textId="77777777" w:rsidR="0068234B" w:rsidRPr="000F1C89" w:rsidRDefault="0068234B" w:rsidP="001D55A9">
      <w:pPr>
        <w:pStyle w:val="Heading4"/>
      </w:pPr>
      <w:r w:rsidRPr="000F1C89">
        <w:lastRenderedPageBreak/>
        <w:t xml:space="preserve">Financial projections for the two years ahead. This information must follow Form 4.4, </w:t>
      </w:r>
      <w:proofErr w:type="gramStart"/>
      <w:r w:rsidRPr="000F1C89">
        <w:t>Financial</w:t>
      </w:r>
      <w:proofErr w:type="gramEnd"/>
      <w:r w:rsidRPr="000F1C89">
        <w:t xml:space="preserve"> statement, provided in accordance with Volume 1, Section 4 of the tender documents.</w:t>
      </w:r>
    </w:p>
    <w:p w14:paraId="163759E3" w14:textId="77777777"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801448" w14:textId="77777777"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2096FE8D" w14:textId="398560CE" w:rsidR="0068234B" w:rsidRPr="000F1C89" w:rsidRDefault="0068234B" w:rsidP="009C1E79">
      <w:pPr>
        <w:numPr>
          <w:ilvl w:val="0"/>
          <w:numId w:val="6"/>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10A3782E" w14:textId="77777777" w:rsidR="0068234B" w:rsidRPr="000F1C89" w:rsidRDefault="0068234B" w:rsidP="009C1E79">
      <w:pPr>
        <w:numPr>
          <w:ilvl w:val="0"/>
          <w:numId w:val="6"/>
        </w:numPr>
        <w:ind w:left="2552"/>
      </w:pPr>
      <w:proofErr w:type="gramStart"/>
      <w:r w:rsidRPr="000F1C89">
        <w:t>a</w:t>
      </w:r>
      <w:proofErr w:type="gramEnd"/>
      <w:r w:rsidRPr="000F1C89">
        <w:t xml:space="preserve">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6A46489C" w14:textId="0864E85A" w:rsidR="0068234B" w:rsidRPr="002A2676" w:rsidRDefault="0068234B" w:rsidP="009C1E79">
      <w:pPr>
        <w:numPr>
          <w:ilvl w:val="0"/>
          <w:numId w:val="7"/>
        </w:numPr>
        <w:spacing w:after="0"/>
        <w:ind w:left="2977" w:hanging="357"/>
      </w:pPr>
      <w:r w:rsidRPr="002A2676">
        <w:t>Trenching machines</w:t>
      </w:r>
    </w:p>
    <w:p w14:paraId="255C88F3" w14:textId="77777777" w:rsidR="0068234B" w:rsidRPr="002A2676" w:rsidRDefault="0068234B" w:rsidP="009C1E79">
      <w:pPr>
        <w:numPr>
          <w:ilvl w:val="0"/>
          <w:numId w:val="7"/>
        </w:numPr>
        <w:spacing w:after="0"/>
        <w:ind w:left="2977" w:hanging="357"/>
      </w:pPr>
      <w:r w:rsidRPr="002A2676">
        <w:t>Dewatering plant</w:t>
      </w:r>
    </w:p>
    <w:p w14:paraId="69FEAAEA" w14:textId="77777777" w:rsidR="0068234B" w:rsidRPr="002A2676" w:rsidRDefault="0068234B" w:rsidP="009C1E79">
      <w:pPr>
        <w:numPr>
          <w:ilvl w:val="0"/>
          <w:numId w:val="7"/>
        </w:numPr>
        <w:spacing w:after="0"/>
        <w:ind w:left="2977" w:hanging="357"/>
      </w:pPr>
      <w:r w:rsidRPr="002A2676">
        <w:t>Concrete mixing and placing plant</w:t>
      </w:r>
    </w:p>
    <w:p w14:paraId="69EFCEA3" w14:textId="05D7B080" w:rsidR="0068234B" w:rsidRPr="002A2676" w:rsidRDefault="0068234B" w:rsidP="009C1E79">
      <w:pPr>
        <w:numPr>
          <w:ilvl w:val="0"/>
          <w:numId w:val="7"/>
        </w:numPr>
        <w:ind w:left="2977"/>
      </w:pPr>
      <w:r w:rsidRPr="002A2676">
        <w:t>Cranes and lifting equipment</w:t>
      </w:r>
    </w:p>
    <w:p w14:paraId="2FD7382E" w14:textId="77777777"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14:paraId="6E9304F0" w14:textId="120AD371" w:rsidR="0068234B" w:rsidRPr="002A2676" w:rsidRDefault="0068234B" w:rsidP="009C1E79">
      <w:pPr>
        <w:numPr>
          <w:ilvl w:val="0"/>
          <w:numId w:val="6"/>
        </w:numPr>
        <w:ind w:left="2552"/>
      </w:pPr>
      <w:r w:rsidRPr="002A2676">
        <w:t>a list of materials and any supplies intended for use in the works,</w:t>
      </w:r>
      <w:r w:rsidR="002A2676" w:rsidRPr="002A2676">
        <w:t xml:space="preserve"> </w:t>
      </w:r>
      <w:r w:rsidRPr="002A2676">
        <w:t>stating their origin;</w:t>
      </w:r>
    </w:p>
    <w:p w14:paraId="19316F4A" w14:textId="5DE4986F" w:rsidR="0068234B" w:rsidRPr="000F1C89" w:rsidRDefault="0068234B" w:rsidP="009C1E79">
      <w:pPr>
        <w:numPr>
          <w:ilvl w:val="0"/>
          <w:numId w:val="6"/>
        </w:numPr>
        <w:ind w:left="2552"/>
      </w:pPr>
      <w:proofErr w:type="gramStart"/>
      <w:r w:rsidRPr="000F1C89">
        <w:t>a</w:t>
      </w:r>
      <w:proofErr w:type="gramEnd"/>
      <w:r w:rsidRPr="000F1C89">
        <w:t xml:space="preserve">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77777777" w:rsidR="0068234B" w:rsidRPr="000F1C89" w:rsidRDefault="0068234B" w:rsidP="009C1E79">
      <w:pPr>
        <w:numPr>
          <w:ilvl w:val="0"/>
          <w:numId w:val="6"/>
        </w:numPr>
        <w:ind w:left="2552"/>
      </w:pPr>
      <w:r w:rsidRPr="000F1C89">
        <w:t>a critical milestone bar chart showing times and duties allocated for employees for this contract (Form 4.6.3);</w:t>
      </w:r>
    </w:p>
    <w:p w14:paraId="13D71494" w14:textId="77777777" w:rsidR="0068234B" w:rsidRPr="000F1C89" w:rsidRDefault="0068234B" w:rsidP="009C1E79">
      <w:pPr>
        <w:numPr>
          <w:ilvl w:val="0"/>
          <w:numId w:val="6"/>
        </w:numPr>
        <w:ind w:left="2552"/>
      </w:pPr>
      <w:r w:rsidRPr="000F1C89">
        <w:t xml:space="preserve">data </w:t>
      </w:r>
      <w:r w:rsidR="00CB0002" w:rsidRPr="000F1C89">
        <w:t>on</w:t>
      </w:r>
      <w:r w:rsidRPr="000F1C89">
        <w:t xml:space="preserve"> subcontractors and the percentage of works to be subcontracted (Form 4.6.3);</w:t>
      </w:r>
    </w:p>
    <w:p w14:paraId="3D3D28FD" w14:textId="3F91E4AB" w:rsidR="0068234B" w:rsidRPr="000F1C89" w:rsidRDefault="0068234B" w:rsidP="009C1E79">
      <w:pPr>
        <w:numPr>
          <w:ilvl w:val="0"/>
          <w:numId w:val="6"/>
        </w:numPr>
        <w:ind w:left="2552"/>
      </w:pPr>
      <w:proofErr w:type="gramStart"/>
      <w:r w:rsidRPr="000F1C89">
        <w:t>evidence</w:t>
      </w:r>
      <w:proofErr w:type="gramEnd"/>
      <w:r w:rsidRPr="000F1C89">
        <w:t xml:space="preserv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w:t>
      </w:r>
      <w:r w:rsidRPr="002A2676">
        <w:t>experience as the prime contract</w:t>
      </w:r>
      <w:r w:rsidR="002A2676" w:rsidRPr="002A2676">
        <w:t>or in construction of at least 2</w:t>
      </w:r>
      <w:r w:rsidRPr="002A2676">
        <w:t xml:space="preserve"> projects of the same nature and complexity comparable to the works concerned by the tender during the last </w:t>
      </w:r>
      <w:r w:rsidR="002A2676" w:rsidRPr="002A2676">
        <w:t>eight</w:t>
      </w:r>
      <w:r w:rsidRPr="002A2676">
        <w:t xml:space="preserve"> years;</w:t>
      </w:r>
    </w:p>
    <w:p w14:paraId="6E5A46BA" w14:textId="77777777" w:rsidR="0068234B" w:rsidRPr="000F1C89" w:rsidRDefault="0068234B" w:rsidP="009C1E79">
      <w:pPr>
        <w:numPr>
          <w:ilvl w:val="0"/>
          <w:numId w:val="6"/>
        </w:numPr>
        <w:ind w:left="2552"/>
      </w:pPr>
      <w:r w:rsidRPr="000F1C89">
        <w:t>information regarding the proposed main site office (Form 4.6.3);</w:t>
      </w:r>
    </w:p>
    <w:p w14:paraId="18583F17" w14:textId="77777777" w:rsidR="0068234B" w:rsidRPr="000F1C89" w:rsidRDefault="0068234B" w:rsidP="009C1E79">
      <w:pPr>
        <w:numPr>
          <w:ilvl w:val="0"/>
          <w:numId w:val="6"/>
        </w:numPr>
        <w:ind w:left="2552"/>
      </w:pPr>
      <w:proofErr w:type="gramStart"/>
      <w:r w:rsidRPr="000F1C89">
        <w:t>an</w:t>
      </w:r>
      <w:proofErr w:type="gramEnd"/>
      <w:r w:rsidRPr="000F1C89">
        <w:t xml:space="preserve"> outline of the quality assurance system(s) to be used (Form 4.6.7).</w:t>
      </w:r>
    </w:p>
    <w:p w14:paraId="0C791007" w14:textId="77777777" w:rsidR="0068234B" w:rsidRPr="000F1C89" w:rsidRDefault="0068234B" w:rsidP="009C1E79">
      <w:pPr>
        <w:numPr>
          <w:ilvl w:val="0"/>
          <w:numId w:val="6"/>
        </w:numPr>
        <w:ind w:left="2552"/>
      </w:pPr>
      <w:r w:rsidRPr="000F1C89">
        <w:lastRenderedPageBreak/>
        <w:t xml:space="preserve">if applicable, information </w:t>
      </w:r>
      <w:r w:rsidR="00CB0002" w:rsidRPr="000F1C89">
        <w:t>on</w:t>
      </w:r>
      <w:r w:rsidRPr="000F1C89">
        <w:t xml:space="preserve"> tenderers involved in a joint venture/consortium (Form 4.6.5);</w:t>
      </w:r>
    </w:p>
    <w:p w14:paraId="1B6898A3" w14:textId="589907B8" w:rsidR="0068234B" w:rsidRPr="000F1C89" w:rsidRDefault="0068234B" w:rsidP="009C1E79">
      <w:pPr>
        <w:numPr>
          <w:ilvl w:val="0"/>
          <w:numId w:val="6"/>
        </w:numPr>
        <w:ind w:left="2552"/>
      </w:pPr>
      <w:r w:rsidRPr="000F1C89">
        <w:t>details of their li</w:t>
      </w:r>
      <w:r w:rsidR="00D402EB">
        <w:t>tigation history over the last 5</w:t>
      </w:r>
      <w:r w:rsidRPr="000F1C89">
        <w:t xml:space="preserve"> years (Form 4.6.6);</w:t>
      </w:r>
    </w:p>
    <w:p w14:paraId="16B4729E" w14:textId="77777777" w:rsidR="0068234B" w:rsidRDefault="0068234B" w:rsidP="009C1E79">
      <w:pPr>
        <w:numPr>
          <w:ilvl w:val="0"/>
          <w:numId w:val="6"/>
        </w:numPr>
        <w:ind w:left="2552"/>
      </w:pPr>
      <w:r w:rsidRPr="000F1C89">
        <w:t>details of the accommodation and facilities to be provided for the Supervisor (Form 4.6.8);</w:t>
      </w:r>
    </w:p>
    <w:p w14:paraId="7614FCB3" w14:textId="472B31D2" w:rsidR="004915B0" w:rsidRPr="00B73415" w:rsidRDefault="00B540F0" w:rsidP="004915B0">
      <w:pPr>
        <w:numPr>
          <w:ilvl w:val="0"/>
          <w:numId w:val="6"/>
        </w:numPr>
        <w:ind w:left="2552"/>
      </w:pPr>
      <w:r>
        <w:t>technical solution</w:t>
      </w:r>
      <w:r w:rsidR="004915B0" w:rsidRPr="00B73415">
        <w:t xml:space="preserve"> (Form 4.6.9) – Lot 1 only;</w:t>
      </w:r>
    </w:p>
    <w:p w14:paraId="239DE33A" w14:textId="67EF859B" w:rsidR="0068234B" w:rsidRDefault="0068234B" w:rsidP="004915B0">
      <w:pPr>
        <w:numPr>
          <w:ilvl w:val="0"/>
          <w:numId w:val="6"/>
        </w:numPr>
        <w:ind w:left="2552"/>
      </w:pPr>
      <w:proofErr w:type="gramStart"/>
      <w:r w:rsidRPr="000F1C89">
        <w:t>any</w:t>
      </w:r>
      <w:proofErr w:type="gramEnd"/>
      <w:r w:rsidRPr="000F1C89">
        <w:t xml:space="preserve"> other information (Form 4.6.</w:t>
      </w:r>
      <w:r w:rsidR="004915B0">
        <w:t>10</w:t>
      </w:r>
      <w:r w:rsidRPr="000F1C89">
        <w:t>).</w:t>
      </w:r>
    </w:p>
    <w:p w14:paraId="0C4AE3B6" w14:textId="77777777" w:rsidR="004915B0" w:rsidRPr="000F1C89" w:rsidRDefault="004915B0" w:rsidP="00F3218B">
      <w:pPr>
        <w:ind w:left="2552"/>
      </w:pPr>
    </w:p>
    <w:p w14:paraId="7B22FB03" w14:textId="6AE585D0" w:rsidR="0068234B" w:rsidRPr="000F1C89" w:rsidRDefault="0068234B" w:rsidP="001D55A9">
      <w:pPr>
        <w:pStyle w:val="Heading4"/>
      </w:pPr>
      <w:r w:rsidRPr="000F1C89">
        <w:t xml:space="preserve">Proof documents, declarations and undertakings according to </w:t>
      </w:r>
      <w:r w:rsidR="007B2220">
        <w:t>C</w:t>
      </w:r>
      <w:r w:rsidRPr="000F1C89">
        <w:t>lauses 3.1-3.</w:t>
      </w:r>
      <w:r w:rsidR="00670301">
        <w:t>3</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19F1C604" w14:textId="5388284D" w:rsidR="00B93D82" w:rsidRDefault="00B93D82" w:rsidP="00A636AA">
      <w:pPr>
        <w:pStyle w:val="Heading4"/>
      </w:pPr>
    </w:p>
    <w:p w14:paraId="2213CB94" w14:textId="17827D71" w:rsidR="00A636AA" w:rsidRPr="00D402EB" w:rsidRDefault="0068234B" w:rsidP="00D2731E">
      <w:pPr>
        <w:pStyle w:val="Heading4"/>
        <w:numPr>
          <w:ilvl w:val="0"/>
          <w:numId w:val="0"/>
        </w:numPr>
        <w:ind w:left="1134"/>
      </w:pPr>
      <w:r w:rsidRPr="00D402EB">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1301A4" w:rsidRPr="00D402EB">
        <w:t>the</w:t>
      </w:r>
      <w:r w:rsidR="00D713F1" w:rsidRPr="00D402EB">
        <w:t xml:space="preserve"> </w:t>
      </w:r>
      <w:r w:rsidR="009A2A36" w:rsidRPr="00D402EB">
        <w:t>Additional information about the Contract Notice (Annex A5f).</w:t>
      </w:r>
    </w:p>
    <w:p w14:paraId="557D3B7A" w14:textId="22389642" w:rsidR="00A636AA" w:rsidRPr="00D402EB" w:rsidRDefault="00A636AA" w:rsidP="00A1566A">
      <w:pPr>
        <w:pStyle w:val="Heading4"/>
        <w:numPr>
          <w:ilvl w:val="0"/>
          <w:numId w:val="0"/>
        </w:numPr>
        <w:ind w:left="1134"/>
      </w:pPr>
      <w:r w:rsidRPr="00D402EB">
        <w:t>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35430406" w14:textId="54142FD5" w:rsidR="0068234B" w:rsidRPr="00D402EB" w:rsidRDefault="00872EA1" w:rsidP="00D2731E">
      <w:pPr>
        <w:pStyle w:val="Heading4"/>
        <w:numPr>
          <w:ilvl w:val="0"/>
          <w:numId w:val="0"/>
        </w:numPr>
        <w:ind w:left="1134"/>
      </w:pPr>
      <w:r w:rsidRPr="00D402EB">
        <w:t xml:space="preserve">However, they may originate </w:t>
      </w:r>
      <w:r w:rsidR="002C5329" w:rsidRPr="00D402EB">
        <w:t>in</w:t>
      </w:r>
      <w:r w:rsidRPr="00D402EB">
        <w:t xml:space="preserve"> any country when the amount value of the supplies and materials to be purchased is below </w:t>
      </w:r>
      <w:r w:rsidR="00E35BD7" w:rsidRPr="00D402EB">
        <w:t>EUR </w:t>
      </w:r>
      <w:r w:rsidRPr="00D402EB">
        <w:t>100</w:t>
      </w:r>
      <w:r w:rsidR="00E35BD7" w:rsidRPr="00D402EB">
        <w:t> </w:t>
      </w:r>
      <w:r w:rsidRPr="00D402EB">
        <w:t xml:space="preserve">000. </w:t>
      </w:r>
      <w:r w:rsidR="0068234B" w:rsidRPr="00D402EB">
        <w:t xml:space="preserve">For these purposes, </w:t>
      </w:r>
      <w:r w:rsidR="0048094E" w:rsidRPr="00D402EB">
        <w:t>"</w:t>
      </w:r>
      <w:r w:rsidR="0068234B" w:rsidRPr="00D402EB">
        <w:t>origin</w:t>
      </w:r>
      <w:r w:rsidR="0048094E" w:rsidRPr="00D402EB">
        <w:t>"</w:t>
      </w:r>
      <w:r w:rsidR="0068234B" w:rsidRPr="00D402EB">
        <w:t xml:space="preserve"> means the place where the goods are mined, grown, produced or manufactured and/or from which services are provided. The origin of the goods must be determined according to </w:t>
      </w:r>
      <w:r w:rsidR="00C11806" w:rsidRPr="00D402EB">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r w:rsidR="001301A4" w:rsidRPr="00D402EB">
        <w:tab/>
      </w:r>
    </w:p>
    <w:p w14:paraId="66FE3A3C" w14:textId="4B9891D1" w:rsidR="0068234B" w:rsidRPr="00D402EB" w:rsidRDefault="0068234B" w:rsidP="00A1566A">
      <w:pPr>
        <w:ind w:left="1134"/>
        <w:rPr>
          <w:szCs w:val="22"/>
        </w:rPr>
      </w:pPr>
      <w:r w:rsidRPr="00D402EB">
        <w:rPr>
          <w:szCs w:val="22"/>
        </w:rPr>
        <w:t>T</w:t>
      </w:r>
      <w:r w:rsidR="00587E48" w:rsidRPr="00D402EB">
        <w:rPr>
          <w:szCs w:val="22"/>
        </w:rPr>
        <w:t>hrough their tender submission form, t</w:t>
      </w:r>
      <w:r w:rsidRPr="00D402EB">
        <w:rPr>
          <w:szCs w:val="22"/>
        </w:rPr>
        <w:t xml:space="preserve">enderers must provide an undertaking signed by their representative certifying compliance with this requirement. </w:t>
      </w:r>
      <w:r w:rsidR="00CF49AA" w:rsidRPr="00D402EB">
        <w:rPr>
          <w:szCs w:val="22"/>
        </w:rPr>
        <w:t xml:space="preserve">The tenderer is obliged to verify that the provided information is correct. Otherwise, the tenderer risks to be excluded because of negligently misrepresenting information. </w:t>
      </w:r>
      <w:r w:rsidRPr="00D402EB">
        <w:rPr>
          <w:szCs w:val="22"/>
        </w:rPr>
        <w:t>For more details</w:t>
      </w:r>
      <w:r w:rsidR="003111D9" w:rsidRPr="00D402EB">
        <w:rPr>
          <w:szCs w:val="22"/>
        </w:rPr>
        <w:t>,</w:t>
      </w:r>
      <w:r w:rsidRPr="00D402EB">
        <w:rPr>
          <w:szCs w:val="22"/>
        </w:rPr>
        <w:t xml:space="preserve"> see </w:t>
      </w:r>
      <w:r w:rsidR="00CF634D" w:rsidRPr="00D402EB">
        <w:rPr>
          <w:szCs w:val="22"/>
        </w:rPr>
        <w:t>Section</w:t>
      </w:r>
      <w:r w:rsidRPr="00D402EB">
        <w:rPr>
          <w:szCs w:val="22"/>
        </w:rPr>
        <w:t xml:space="preserve"> </w:t>
      </w:r>
      <w:r w:rsidR="00E35BD7" w:rsidRPr="00D402EB">
        <w:rPr>
          <w:szCs w:val="22"/>
        </w:rPr>
        <w:t>2.3.5.</w:t>
      </w:r>
      <w:r w:rsidRPr="00D402EB">
        <w:rPr>
          <w:szCs w:val="22"/>
        </w:rPr>
        <w:t xml:space="preserve"> </w:t>
      </w:r>
      <w:proofErr w:type="gramStart"/>
      <w:r w:rsidR="00E35BD7" w:rsidRPr="00D402EB">
        <w:rPr>
          <w:szCs w:val="22"/>
        </w:rPr>
        <w:t>of</w:t>
      </w:r>
      <w:proofErr w:type="gramEnd"/>
      <w:r w:rsidR="00E35BD7" w:rsidRPr="00D402EB">
        <w:rPr>
          <w:szCs w:val="22"/>
        </w:rPr>
        <w:t xml:space="preserve"> the p</w:t>
      </w:r>
      <w:r w:rsidR="00093510" w:rsidRPr="00D402EB">
        <w:rPr>
          <w:szCs w:val="22"/>
        </w:rPr>
        <w:t xml:space="preserve">ractical </w:t>
      </w:r>
      <w:r w:rsidR="00E35BD7" w:rsidRPr="00D402EB">
        <w:rPr>
          <w:szCs w:val="22"/>
        </w:rPr>
        <w:t>g</w:t>
      </w:r>
      <w:r w:rsidR="00093510" w:rsidRPr="00D402EB">
        <w:rPr>
          <w:szCs w:val="22"/>
        </w:rPr>
        <w:t>uide</w:t>
      </w:r>
      <w:r w:rsidRPr="00D402EB">
        <w:rPr>
          <w:szCs w:val="22"/>
        </w:rPr>
        <w:t>.</w:t>
      </w:r>
    </w:p>
    <w:p w14:paraId="420D0AC1" w14:textId="3471CD07" w:rsidR="0068234B" w:rsidRPr="00D402EB" w:rsidRDefault="0068234B" w:rsidP="001D55A9">
      <w:pPr>
        <w:pStyle w:val="Heading4"/>
      </w:pPr>
      <w:r w:rsidRPr="00D402EB">
        <w:t>Modifications (if any);</w:t>
      </w:r>
    </w:p>
    <w:p w14:paraId="09626ABA" w14:textId="28CAED83" w:rsidR="0068234B" w:rsidRPr="00D402EB" w:rsidRDefault="0068234B" w:rsidP="001D55A9">
      <w:pPr>
        <w:pStyle w:val="Heading4"/>
      </w:pPr>
      <w:r w:rsidRPr="00D402EB">
        <w:t xml:space="preserve">Tender guarantee, </w:t>
      </w:r>
      <w:r w:rsidR="00CB0002" w:rsidRPr="00D402EB">
        <w:t>using</w:t>
      </w:r>
      <w:r w:rsidRPr="00D402EB">
        <w:t xml:space="preserve"> the form provided in Volume 1, Section 3</w:t>
      </w:r>
      <w:r w:rsidR="003C5C95" w:rsidRPr="00D402EB">
        <w:t>;</w:t>
      </w:r>
    </w:p>
    <w:p w14:paraId="1FA52888" w14:textId="11E0518E" w:rsidR="0068234B" w:rsidRPr="00D402EB" w:rsidRDefault="00A32A51" w:rsidP="001D55A9">
      <w:pPr>
        <w:pStyle w:val="Heading4"/>
      </w:pPr>
      <w:r w:rsidRPr="00D402EB">
        <w:t>S</w:t>
      </w:r>
      <w:r w:rsidR="0068234B" w:rsidRPr="00D402EB">
        <w:t>ite visit</w:t>
      </w:r>
      <w:r w:rsidR="003111D9" w:rsidRPr="00D402EB">
        <w:t xml:space="preserve"> certificate</w:t>
      </w:r>
      <w:r w:rsidR="00D402EB" w:rsidRPr="00D402EB">
        <w:t>.</w:t>
      </w:r>
    </w:p>
    <w:p w14:paraId="1E109D69" w14:textId="77777777" w:rsidR="0068234B" w:rsidRPr="000F1C89" w:rsidRDefault="0068234B" w:rsidP="00D713F1">
      <w:pPr>
        <w:pStyle w:val="Heading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1C3D5A">
      <w:pPr>
        <w:ind w:left="709"/>
      </w:pPr>
      <w:r w:rsidRPr="000F1C89">
        <w:lastRenderedPageBreak/>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646D0D6F" w14:textId="65A57A58" w:rsidR="0041666A" w:rsidRDefault="0068234B" w:rsidP="001C3D5A">
      <w:pPr>
        <w:ind w:left="709"/>
      </w:pPr>
      <w:r w:rsidRPr="00D402EB">
        <w:t>The selection criteria for each tenderer are as follows:</w:t>
      </w:r>
    </w:p>
    <w:p w14:paraId="6C34DF5E" w14:textId="77777777" w:rsidR="00D402EB" w:rsidRPr="00B54321" w:rsidRDefault="00D402EB" w:rsidP="00D402EB">
      <w:pPr>
        <w:ind w:left="0"/>
      </w:pPr>
      <w:r w:rsidRPr="00B54321">
        <w:t xml:space="preserve">The selection criteria for tenderers to </w:t>
      </w:r>
      <w:r w:rsidRPr="0037281B">
        <w:rPr>
          <w:b/>
        </w:rPr>
        <w:t>Lot 1</w:t>
      </w:r>
      <w:r w:rsidRPr="00B54321">
        <w:t xml:space="preserve"> are as follows:</w:t>
      </w:r>
    </w:p>
    <w:p w14:paraId="436A111C" w14:textId="77777777" w:rsidR="00D402EB" w:rsidRPr="00B54321" w:rsidRDefault="00D402EB" w:rsidP="00D402EB">
      <w:pPr>
        <w:ind w:left="709"/>
        <w:rPr>
          <w:b/>
          <w:i/>
        </w:rPr>
      </w:pPr>
      <w:r w:rsidRPr="00B54321">
        <w:rPr>
          <w:b/>
          <w:i/>
        </w:rPr>
        <w:t xml:space="preserve">1. Economic and </w:t>
      </w:r>
      <w:r>
        <w:rPr>
          <w:b/>
          <w:i/>
        </w:rPr>
        <w:t>financial capacity of candidate</w:t>
      </w:r>
    </w:p>
    <w:p w14:paraId="571F31AB" w14:textId="77777777" w:rsidR="00D402EB" w:rsidRPr="00457082" w:rsidRDefault="00D402EB" w:rsidP="009C1E79">
      <w:pPr>
        <w:numPr>
          <w:ilvl w:val="0"/>
          <w:numId w:val="21"/>
        </w:numPr>
        <w:ind w:left="1260" w:hanging="270"/>
      </w:pPr>
      <w:r w:rsidRPr="00B54321">
        <w:t xml:space="preserve">The average annual turnover of the tenderer in the past 3 </w:t>
      </w:r>
      <w:r>
        <w:rPr>
          <w:lang w:val="sr-Latn-RS"/>
        </w:rPr>
        <w:t xml:space="preserve">(three) </w:t>
      </w:r>
      <w:r w:rsidRPr="00B54321">
        <w:t>financial years for which the accounts are closed must be at least 20.000.000,00 EUR</w:t>
      </w:r>
      <w:r w:rsidRPr="00457082">
        <w:rPr>
          <w:b/>
          <w:szCs w:val="22"/>
        </w:rPr>
        <w:t xml:space="preserve"> </w:t>
      </w:r>
    </w:p>
    <w:p w14:paraId="62C1466F" w14:textId="77777777" w:rsidR="00D402EB" w:rsidRDefault="00D402EB" w:rsidP="009C1E79">
      <w:pPr>
        <w:numPr>
          <w:ilvl w:val="0"/>
          <w:numId w:val="21"/>
        </w:numPr>
        <w:ind w:left="1260" w:hanging="270"/>
      </w:pPr>
      <w:r w:rsidRPr="00457082">
        <w:t>Tenderer must have access to sufficient credit to cover the required cash flow for t</w:t>
      </w:r>
      <w:r>
        <w:t>he duration of the contract. T</w:t>
      </w:r>
      <w:r w:rsidRPr="00457082">
        <w:t xml:space="preserve">he amount of credit available must be at least </w:t>
      </w:r>
      <w:r>
        <w:t>5</w:t>
      </w:r>
      <w:r w:rsidRPr="00457082">
        <w:t>.0</w:t>
      </w:r>
      <w:r>
        <w:t>00.000</w:t>
      </w:r>
      <w:proofErr w:type="gramStart"/>
      <w:r>
        <w:t>,00</w:t>
      </w:r>
      <w:proofErr w:type="gramEnd"/>
      <w:r>
        <w:t xml:space="preserve"> </w:t>
      </w:r>
      <w:r w:rsidRPr="00457082">
        <w:t>EUR.</w:t>
      </w:r>
    </w:p>
    <w:p w14:paraId="2BB7FDF2" w14:textId="77777777" w:rsidR="00D402EB" w:rsidRPr="00457082" w:rsidRDefault="00D402EB" w:rsidP="009C1E79">
      <w:pPr>
        <w:numPr>
          <w:ilvl w:val="0"/>
          <w:numId w:val="21"/>
        </w:numPr>
        <w:ind w:left="1260" w:hanging="270"/>
      </w:pPr>
      <w:r w:rsidRPr="00457082">
        <w:t xml:space="preserve">The </w:t>
      </w:r>
      <w:r>
        <w:t>cumulative</w:t>
      </w:r>
      <w:r w:rsidRPr="00457082">
        <w:t xml:space="preserve"> working capital (liquid assets minus short term debts) of the tenderer (individual applicant or JV/consortium members as a whole) over the </w:t>
      </w:r>
      <w:r>
        <w:t>previous three</w:t>
      </w:r>
      <w:r w:rsidRPr="00457082">
        <w:t xml:space="preserve"> year</w:t>
      </w:r>
      <w:r>
        <w:t>s</w:t>
      </w:r>
      <w:r w:rsidRPr="00457082">
        <w:t xml:space="preserve"> period </w:t>
      </w:r>
      <w:r>
        <w:t xml:space="preserve">for which the accounts are closed </w:t>
      </w:r>
      <w:r w:rsidRPr="00457082">
        <w:t>must be positive.</w:t>
      </w:r>
    </w:p>
    <w:p w14:paraId="4C95FCCA" w14:textId="77777777" w:rsidR="00D402EB" w:rsidRPr="000F1C89" w:rsidRDefault="00D402EB" w:rsidP="00D402EB">
      <w:pPr>
        <w:ind w:left="2268"/>
      </w:pPr>
    </w:p>
    <w:p w14:paraId="310F9CFD" w14:textId="77777777" w:rsidR="00D402EB" w:rsidRDefault="00D402EB" w:rsidP="00D402EB">
      <w:pPr>
        <w:ind w:left="709"/>
        <w:rPr>
          <w:b/>
          <w:i/>
        </w:rPr>
      </w:pPr>
      <w:r>
        <w:rPr>
          <w:b/>
          <w:i/>
        </w:rPr>
        <w:t xml:space="preserve">2. </w:t>
      </w:r>
      <w:r w:rsidRPr="000F1C89">
        <w:rPr>
          <w:b/>
          <w:i/>
        </w:rPr>
        <w:t>Technical and pro</w:t>
      </w:r>
      <w:r>
        <w:rPr>
          <w:b/>
          <w:i/>
        </w:rPr>
        <w:t>fessional capacity of candidate</w:t>
      </w:r>
    </w:p>
    <w:p w14:paraId="3F0653F3" w14:textId="77777777" w:rsidR="00D402EB" w:rsidRDefault="00D402EB" w:rsidP="009C1E79">
      <w:pPr>
        <w:pStyle w:val="Blockquote"/>
        <w:numPr>
          <w:ilvl w:val="0"/>
          <w:numId w:val="23"/>
        </w:numPr>
        <w:tabs>
          <w:tab w:val="left" w:pos="284"/>
        </w:tabs>
        <w:ind w:left="993" w:right="-49" w:hanging="3"/>
        <w:rPr>
          <w:szCs w:val="22"/>
        </w:rPr>
      </w:pPr>
      <w:r w:rsidRPr="00DC52E0">
        <w:rPr>
          <w:szCs w:val="22"/>
        </w:rPr>
        <w:t>The Tenderer must be a registered firm or natural person legally capable of carrying out the specified works</w:t>
      </w:r>
      <w:r>
        <w:rPr>
          <w:szCs w:val="22"/>
        </w:rPr>
        <w:t xml:space="preserve"> </w:t>
      </w:r>
      <w:r w:rsidRPr="00800450">
        <w:rPr>
          <w:szCs w:val="22"/>
        </w:rPr>
        <w:t>(</w:t>
      </w:r>
      <w:r w:rsidRPr="00800450">
        <w:rPr>
          <w:i/>
          <w:szCs w:val="22"/>
        </w:rPr>
        <w:t>in the case of a consortium, this requirement applies to all members of the consortium</w:t>
      </w:r>
      <w:r w:rsidRPr="00800450">
        <w:rPr>
          <w:szCs w:val="22"/>
        </w:rPr>
        <w:t>)</w:t>
      </w:r>
      <w:r w:rsidRPr="003A7FEF">
        <w:rPr>
          <w:szCs w:val="22"/>
        </w:rPr>
        <w:t>.</w:t>
      </w:r>
    </w:p>
    <w:p w14:paraId="3F8F1045" w14:textId="24E45E31" w:rsidR="0001587C" w:rsidRDefault="00D402EB" w:rsidP="009C1E79">
      <w:pPr>
        <w:pStyle w:val="Blockquote"/>
        <w:numPr>
          <w:ilvl w:val="0"/>
          <w:numId w:val="23"/>
        </w:numPr>
        <w:tabs>
          <w:tab w:val="left" w:pos="284"/>
        </w:tabs>
        <w:ind w:left="993" w:right="-49" w:hanging="3"/>
        <w:rPr>
          <w:szCs w:val="22"/>
        </w:rPr>
      </w:pPr>
      <w:r w:rsidRPr="00B97E71">
        <w:rPr>
          <w:szCs w:val="22"/>
        </w:rPr>
        <w:t xml:space="preserve">Tenderer must have completed at least two (2) contracts where each of them include process design, construction and commissioning of municipal waste water treatment plant with capacity of at least 90.000 PE, comprising </w:t>
      </w:r>
      <w:r>
        <w:rPr>
          <w:szCs w:val="22"/>
        </w:rPr>
        <w:t xml:space="preserve">of </w:t>
      </w:r>
      <w:r>
        <w:t xml:space="preserve">secondary or tertiary </w:t>
      </w:r>
      <w:r w:rsidRPr="00B97E71">
        <w:rPr>
          <w:szCs w:val="22"/>
        </w:rPr>
        <w:t>treatment level of wastewater with sludge anaerobic digestion, implemented, under design-built or turnkey Contract Condition. At least one o</w:t>
      </w:r>
      <w:r>
        <w:rPr>
          <w:szCs w:val="22"/>
        </w:rPr>
        <w:t xml:space="preserve">f them shall be </w:t>
      </w:r>
      <w:r w:rsidRPr="00B97E71">
        <w:rPr>
          <w:szCs w:val="22"/>
        </w:rPr>
        <w:t>with digester gas reuse for power recovery</w:t>
      </w:r>
      <w:r w:rsidRPr="00A8296F">
        <w:rPr>
          <w:szCs w:val="22"/>
        </w:rPr>
        <w:t xml:space="preserve">.  </w:t>
      </w:r>
    </w:p>
    <w:p w14:paraId="579DCFF2" w14:textId="6E7F55CC" w:rsidR="0001587C" w:rsidRDefault="0001587C" w:rsidP="009C1E79">
      <w:pPr>
        <w:pStyle w:val="Blockquote"/>
        <w:numPr>
          <w:ilvl w:val="0"/>
          <w:numId w:val="23"/>
        </w:numPr>
        <w:tabs>
          <w:tab w:val="left" w:pos="284"/>
        </w:tabs>
        <w:ind w:left="993" w:right="-49" w:hanging="3"/>
        <w:rPr>
          <w:szCs w:val="22"/>
        </w:rPr>
      </w:pPr>
      <w:r>
        <w:rPr>
          <w:szCs w:val="22"/>
        </w:rPr>
        <w:t>Tenderer must have completed at least one (1) contract for construction of a sludge solar-drying facility with the capacity of at least 90.000 PE.</w:t>
      </w:r>
    </w:p>
    <w:p w14:paraId="70CF7A66" w14:textId="5C716852" w:rsidR="00D402EB" w:rsidRPr="00A8296F" w:rsidRDefault="00D402EB" w:rsidP="00F3218B">
      <w:pPr>
        <w:pStyle w:val="Blockquote"/>
        <w:tabs>
          <w:tab w:val="left" w:pos="284"/>
        </w:tabs>
        <w:ind w:left="990" w:right="-49"/>
        <w:rPr>
          <w:szCs w:val="22"/>
        </w:rPr>
      </w:pPr>
      <w:r w:rsidRPr="00A8296F">
        <w:rPr>
          <w:szCs w:val="22"/>
        </w:rPr>
        <w:t xml:space="preserve">The works </w:t>
      </w:r>
      <w:r w:rsidR="0001587C">
        <w:rPr>
          <w:szCs w:val="22"/>
        </w:rPr>
        <w:t>for both criteria b) and c)</w:t>
      </w:r>
      <w:r w:rsidR="0001587C" w:rsidRPr="00A8296F">
        <w:rPr>
          <w:szCs w:val="22"/>
        </w:rPr>
        <w:t xml:space="preserve"> </w:t>
      </w:r>
      <w:r w:rsidRPr="00A8296F">
        <w:rPr>
          <w:szCs w:val="22"/>
        </w:rPr>
        <w:t>must have been completed at any moment during the period of the past eight (8) years from the date of submission of tenders.</w:t>
      </w:r>
      <w:r w:rsidR="0001587C">
        <w:rPr>
          <w:szCs w:val="22"/>
        </w:rPr>
        <w:t xml:space="preserve"> Criteria c) can be satisfied as integrative part of the contract under criteria b)</w:t>
      </w:r>
      <w:r w:rsidR="00F3218B">
        <w:rPr>
          <w:szCs w:val="22"/>
        </w:rPr>
        <w:t>, or separately.</w:t>
      </w:r>
      <w:bookmarkStart w:id="19" w:name="_GoBack"/>
      <w:bookmarkEnd w:id="19"/>
    </w:p>
    <w:p w14:paraId="62979530" w14:textId="77777777" w:rsidR="00D402EB" w:rsidRPr="00A8296F" w:rsidRDefault="00D402EB" w:rsidP="00D402EB">
      <w:pPr>
        <w:pStyle w:val="Blockquote"/>
        <w:tabs>
          <w:tab w:val="left" w:pos="284"/>
        </w:tabs>
        <w:ind w:left="990" w:right="-49"/>
        <w:rPr>
          <w:b/>
          <w:szCs w:val="22"/>
          <w:u w:val="single"/>
        </w:rPr>
      </w:pPr>
      <w:r w:rsidRPr="00A8296F">
        <w:rPr>
          <w:b/>
          <w:szCs w:val="22"/>
          <w:u w:val="single"/>
        </w:rPr>
        <w:t>The above requirements are to be interpreted as follows:</w:t>
      </w:r>
    </w:p>
    <w:p w14:paraId="6C432F45" w14:textId="77777777" w:rsidR="00D402EB" w:rsidRPr="00A8296F" w:rsidRDefault="00D402EB" w:rsidP="00D402EB">
      <w:pPr>
        <w:ind w:left="990"/>
        <w:rPr>
          <w:b/>
          <w:szCs w:val="22"/>
          <w:u w:val="single"/>
          <w:lang w:val="sr-Latn-RS"/>
        </w:rPr>
      </w:pPr>
    </w:p>
    <w:p w14:paraId="68796C4A" w14:textId="77777777" w:rsidR="00D402EB" w:rsidRPr="00A8296F" w:rsidRDefault="00D402EB" w:rsidP="009C1E79">
      <w:pPr>
        <w:pStyle w:val="ListParagraph"/>
        <w:numPr>
          <w:ilvl w:val="0"/>
          <w:numId w:val="25"/>
        </w:numPr>
        <w:ind w:left="1530" w:hanging="540"/>
        <w:jc w:val="both"/>
      </w:pPr>
      <w:r w:rsidRPr="00A8296F">
        <w:rPr>
          <w:rFonts w:ascii="Times New Roman" w:hAnsi="Times New Roman"/>
        </w:rPr>
        <w:t xml:space="preserve">The tenderer “must have completed” the works contracts - this means that the project the tenderer refers to could have been started/implemented/completed at any time during the indicated period but it does not necessarily have to be started and completed during that period. </w:t>
      </w:r>
    </w:p>
    <w:p w14:paraId="153C4766" w14:textId="77777777" w:rsidR="00D402EB" w:rsidRPr="00A8296F" w:rsidRDefault="00D402EB" w:rsidP="009C1E79">
      <w:pPr>
        <w:pStyle w:val="ListParagraph"/>
        <w:numPr>
          <w:ilvl w:val="0"/>
          <w:numId w:val="25"/>
        </w:numPr>
        <w:ind w:left="1530" w:hanging="540"/>
        <w:jc w:val="both"/>
      </w:pPr>
      <w:r w:rsidRPr="00A8296F">
        <w:rPr>
          <w:rFonts w:ascii="Times New Roman" w:hAnsi="Times New Roman"/>
        </w:rPr>
        <w:t>“Municipal waste water” - this means waste water from residential settlements and services which originates predominantly from the human metabolism and from household activities.</w:t>
      </w:r>
    </w:p>
    <w:p w14:paraId="448BD8D7" w14:textId="77777777" w:rsidR="00D402EB" w:rsidRPr="008E60E4" w:rsidRDefault="00D402EB" w:rsidP="009C1E79">
      <w:pPr>
        <w:pStyle w:val="ListParagraph"/>
        <w:numPr>
          <w:ilvl w:val="0"/>
          <w:numId w:val="25"/>
        </w:numPr>
        <w:ind w:left="1530" w:hanging="540"/>
        <w:jc w:val="both"/>
        <w:rPr>
          <w:rFonts w:ascii="Times New Roman" w:hAnsi="Times New Roman"/>
        </w:rPr>
      </w:pPr>
      <w:r w:rsidRPr="00A8296F">
        <w:rPr>
          <w:rFonts w:ascii="Times New Roman" w:hAnsi="Times New Roman"/>
        </w:rPr>
        <w:t>Secondary treatment level means treatment of urban waste water by process in which the requirements established in Table 1 of Annex I of the Urban Waste Water Directive 91/271/EEC are respected</w:t>
      </w:r>
      <w:r>
        <w:rPr>
          <w:rFonts w:ascii="Times New Roman" w:hAnsi="Times New Roman"/>
        </w:rPr>
        <w:t xml:space="preserve">. </w:t>
      </w:r>
      <w:r w:rsidRPr="0088005A">
        <w:rPr>
          <w:rFonts w:ascii="Times New Roman" w:hAnsi="Times New Roman"/>
        </w:rPr>
        <w:t xml:space="preserve">Tertiary treatment means waste water treatment process where the discharge corresponds with the values given in </w:t>
      </w:r>
      <w:r>
        <w:rPr>
          <w:rFonts w:ascii="Times New Roman" w:hAnsi="Times New Roman"/>
        </w:rPr>
        <w:t xml:space="preserve">the same directive </w:t>
      </w:r>
      <w:r w:rsidRPr="0088005A">
        <w:rPr>
          <w:rFonts w:ascii="Times New Roman" w:hAnsi="Times New Roman"/>
        </w:rPr>
        <w:t>Annex 1, Table 1 and Table 2</w:t>
      </w:r>
      <w:r>
        <w:rPr>
          <w:rFonts w:ascii="Times New Roman" w:hAnsi="Times New Roman"/>
        </w:rPr>
        <w:t>.</w:t>
      </w:r>
    </w:p>
    <w:p w14:paraId="440A8034" w14:textId="77777777" w:rsidR="00D402EB" w:rsidRPr="00A8296F" w:rsidRDefault="00D402EB" w:rsidP="009C1E79">
      <w:pPr>
        <w:pStyle w:val="ListParagraph"/>
        <w:numPr>
          <w:ilvl w:val="0"/>
          <w:numId w:val="25"/>
        </w:numPr>
        <w:ind w:left="1530" w:hanging="540"/>
        <w:jc w:val="both"/>
      </w:pPr>
      <w:r w:rsidRPr="00A8296F">
        <w:rPr>
          <w:rFonts w:ascii="Times New Roman" w:hAnsi="Times New Roman"/>
        </w:rPr>
        <w:t xml:space="preserve">"Completed" means that the tenderer has in his possession “Taking over Certificate" (Provisional Acceptance Certificates) or "Performance Certificate" (Final Acceptance Certificates or equivalent certificates) for construction contracts issued. Copies (with translations into English) of any of the mentioned certificates signed by the relevant </w:t>
      </w:r>
      <w:r w:rsidRPr="00A8296F">
        <w:rPr>
          <w:rFonts w:ascii="Times New Roman" w:hAnsi="Times New Roman"/>
        </w:rPr>
        <w:lastRenderedPageBreak/>
        <w:t>Supervisors/Contracting Authority/Employer/Engineer or equivalent of the contract concerned must be submitted to the Contracting Authority.</w:t>
      </w:r>
    </w:p>
    <w:p w14:paraId="61E52B66" w14:textId="77777777" w:rsidR="00D402EB" w:rsidRPr="00A8296F" w:rsidRDefault="00D402EB" w:rsidP="00D402EB">
      <w:pPr>
        <w:pStyle w:val="ListParagraph"/>
        <w:ind w:left="1530"/>
        <w:jc w:val="both"/>
      </w:pPr>
    </w:p>
    <w:p w14:paraId="2FBEC019" w14:textId="77777777" w:rsidR="00D402EB" w:rsidRPr="00A8296F" w:rsidRDefault="00D402EB" w:rsidP="00D402EB">
      <w:pPr>
        <w:ind w:left="990"/>
        <w:rPr>
          <w:szCs w:val="22"/>
        </w:rPr>
      </w:pPr>
      <w:r w:rsidRPr="00A8296F">
        <w:rPr>
          <w:szCs w:val="22"/>
        </w:rPr>
        <w:t>f)</w:t>
      </w:r>
      <w:r w:rsidRPr="00A8296F">
        <w:rPr>
          <w:szCs w:val="22"/>
        </w:rPr>
        <w:tab/>
      </w:r>
      <w:r w:rsidRPr="00A8296F">
        <w:rPr>
          <w:b/>
          <w:i/>
          <w:szCs w:val="22"/>
          <w:u w:val="single"/>
        </w:rPr>
        <w:t>The following will be interpreted as a valid experience:</w:t>
      </w:r>
    </w:p>
    <w:p w14:paraId="43DC42F8" w14:textId="1F89E464" w:rsidR="00D402EB" w:rsidRPr="00A8296F" w:rsidRDefault="00D402EB" w:rsidP="00D402EB">
      <w:pPr>
        <w:ind w:left="990"/>
        <w:rPr>
          <w:szCs w:val="22"/>
        </w:rPr>
      </w:pPr>
      <w:proofErr w:type="spellStart"/>
      <w:r w:rsidRPr="00A8296F">
        <w:rPr>
          <w:szCs w:val="22"/>
        </w:rPr>
        <w:t>i</w:t>
      </w:r>
      <w:proofErr w:type="spellEnd"/>
      <w:r w:rsidRPr="00A8296F">
        <w:rPr>
          <w:szCs w:val="22"/>
        </w:rPr>
        <w:t>)</w:t>
      </w:r>
      <w:r w:rsidRPr="00A8296F">
        <w:rPr>
          <w:szCs w:val="22"/>
        </w:rPr>
        <w:tab/>
        <w:t xml:space="preserve"> Extension of the municipal WWTP (covering the process design preparation, construction, installation and commissioning of additional technological line/train, including digester gas reuse for power recovery and sludge drying) with increased capacity for at least 90.000 PE delivered under design-build or turnkey Contract Conditions, subject to compliance with the requirements specified under 12.2.2.</w:t>
      </w:r>
      <w:r w:rsidR="00280A07">
        <w:rPr>
          <w:szCs w:val="22"/>
        </w:rPr>
        <w:t>b</w:t>
      </w:r>
      <w:r w:rsidRPr="00A8296F">
        <w:rPr>
          <w:szCs w:val="22"/>
        </w:rPr>
        <w:t>) above regarding the size and value of the tenderer’s portion in the reference contract.</w:t>
      </w:r>
    </w:p>
    <w:p w14:paraId="7401ED4C" w14:textId="77777777" w:rsidR="00D402EB" w:rsidRPr="00A8296F" w:rsidRDefault="00D402EB" w:rsidP="00D402EB">
      <w:pPr>
        <w:ind w:left="990"/>
        <w:rPr>
          <w:szCs w:val="22"/>
        </w:rPr>
      </w:pPr>
      <w:r w:rsidRPr="00A8296F">
        <w:rPr>
          <w:szCs w:val="22"/>
        </w:rPr>
        <w:t xml:space="preserve">ii) In case where tenderer’s references cover reconstruction or upgrade of a municipal WWTP, such works contract must include process design preparation, civil works, electro mechanical and automation installation, and commissioning, including digester gas reuse for power recovery and sludge drying, under design build or turnkey Contract Conditions of WWTP with the capacity of at least 90.000 PE. </w:t>
      </w:r>
    </w:p>
    <w:p w14:paraId="08F96836" w14:textId="77777777" w:rsidR="00D402EB" w:rsidRDefault="00D402EB" w:rsidP="00D402EB">
      <w:pPr>
        <w:ind w:left="0"/>
        <w:rPr>
          <w:szCs w:val="22"/>
        </w:rPr>
      </w:pPr>
    </w:p>
    <w:p w14:paraId="631F8CCC" w14:textId="77777777" w:rsidR="00D402EB" w:rsidRPr="001E7A39" w:rsidRDefault="00D402EB" w:rsidP="00D402EB">
      <w:pPr>
        <w:ind w:left="0"/>
        <w:rPr>
          <w:szCs w:val="22"/>
        </w:rPr>
      </w:pPr>
      <w:r w:rsidRPr="002474FA">
        <w:rPr>
          <w:szCs w:val="22"/>
        </w:rPr>
        <w:t>The selection criteria for tenderer</w:t>
      </w:r>
      <w:r>
        <w:rPr>
          <w:szCs w:val="22"/>
        </w:rPr>
        <w:t xml:space="preserve">s to </w:t>
      </w:r>
      <w:r w:rsidRPr="000374C5">
        <w:rPr>
          <w:b/>
          <w:bCs/>
          <w:szCs w:val="22"/>
        </w:rPr>
        <w:t xml:space="preserve">Lot </w:t>
      </w:r>
      <w:r>
        <w:rPr>
          <w:b/>
          <w:bCs/>
          <w:szCs w:val="22"/>
        </w:rPr>
        <w:t>2</w:t>
      </w:r>
      <w:r>
        <w:rPr>
          <w:szCs w:val="22"/>
        </w:rPr>
        <w:t xml:space="preserve"> are as follows</w:t>
      </w:r>
      <w:r w:rsidRPr="002474FA">
        <w:rPr>
          <w:szCs w:val="22"/>
        </w:rPr>
        <w:t>:</w:t>
      </w:r>
    </w:p>
    <w:p w14:paraId="4C695C41" w14:textId="77777777" w:rsidR="00D402EB" w:rsidRPr="00B54321" w:rsidRDefault="00D402EB" w:rsidP="00D402EB">
      <w:pPr>
        <w:ind w:left="709"/>
        <w:rPr>
          <w:b/>
          <w:i/>
        </w:rPr>
      </w:pPr>
      <w:r w:rsidRPr="00B54321">
        <w:rPr>
          <w:b/>
          <w:i/>
        </w:rPr>
        <w:t xml:space="preserve">1. Economic and </w:t>
      </w:r>
      <w:r>
        <w:rPr>
          <w:b/>
          <w:i/>
        </w:rPr>
        <w:t>financial capacity of candidate</w:t>
      </w:r>
    </w:p>
    <w:p w14:paraId="010503E8" w14:textId="77777777" w:rsidR="00D402EB" w:rsidRPr="00457082" w:rsidRDefault="00D402EB" w:rsidP="009C1E79">
      <w:pPr>
        <w:numPr>
          <w:ilvl w:val="0"/>
          <w:numId w:val="22"/>
        </w:numPr>
        <w:ind w:left="1170" w:hanging="270"/>
      </w:pPr>
      <w:r w:rsidRPr="00B54321">
        <w:t>The average annual turnover of the tenderer in the past 3 financial years for which the accounts are closed must be at least 20.000.000,00 EUR</w:t>
      </w:r>
      <w:r w:rsidRPr="00457082">
        <w:rPr>
          <w:b/>
          <w:szCs w:val="22"/>
        </w:rPr>
        <w:t xml:space="preserve"> </w:t>
      </w:r>
    </w:p>
    <w:p w14:paraId="38738A0A" w14:textId="77777777" w:rsidR="00D402EB" w:rsidRDefault="00D402EB" w:rsidP="009C1E79">
      <w:pPr>
        <w:numPr>
          <w:ilvl w:val="0"/>
          <w:numId w:val="22"/>
        </w:numPr>
        <w:ind w:left="1170" w:hanging="270"/>
      </w:pPr>
      <w:r w:rsidRPr="00457082">
        <w:t xml:space="preserve">Tenderer must have access to sufficient credit and other financial facilities to cover the required cash flow for the duration of the contract. In any case, the amount of credit available must be at least </w:t>
      </w:r>
      <w:r>
        <w:t>5</w:t>
      </w:r>
      <w:r w:rsidRPr="00457082">
        <w:t>.0</w:t>
      </w:r>
      <w:r>
        <w:t>00.000</w:t>
      </w:r>
      <w:proofErr w:type="gramStart"/>
      <w:r>
        <w:t>,00</w:t>
      </w:r>
      <w:proofErr w:type="gramEnd"/>
      <w:r>
        <w:t xml:space="preserve"> </w:t>
      </w:r>
      <w:r w:rsidRPr="00457082">
        <w:t>EUR.</w:t>
      </w:r>
    </w:p>
    <w:p w14:paraId="4383624C" w14:textId="77777777" w:rsidR="00D402EB" w:rsidRPr="00457082" w:rsidRDefault="00D402EB" w:rsidP="009C1E79">
      <w:pPr>
        <w:numPr>
          <w:ilvl w:val="0"/>
          <w:numId w:val="22"/>
        </w:numPr>
        <w:ind w:left="1170" w:hanging="270"/>
      </w:pPr>
      <w:r w:rsidRPr="00457082">
        <w:t>The average working capital (liquid assets minus short term debts) of the tenderer (individual applicant or JV/consortium members as a whole) over the same three year period must be positive.</w:t>
      </w:r>
    </w:p>
    <w:p w14:paraId="225ED98C" w14:textId="77777777" w:rsidR="00D402EB" w:rsidRDefault="00D402EB" w:rsidP="00D402EB">
      <w:pPr>
        <w:ind w:left="990"/>
        <w:rPr>
          <w:szCs w:val="22"/>
        </w:rPr>
      </w:pPr>
    </w:p>
    <w:p w14:paraId="2BCCA4D4" w14:textId="77777777" w:rsidR="00D402EB" w:rsidRDefault="00D402EB" w:rsidP="00D402EB">
      <w:pPr>
        <w:ind w:left="709"/>
        <w:rPr>
          <w:b/>
          <w:i/>
        </w:rPr>
      </w:pPr>
      <w:r>
        <w:rPr>
          <w:b/>
          <w:i/>
        </w:rPr>
        <w:t>2</w:t>
      </w:r>
      <w:r w:rsidRPr="00B54321">
        <w:rPr>
          <w:b/>
          <w:i/>
        </w:rPr>
        <w:t xml:space="preserve">. </w:t>
      </w:r>
      <w:r>
        <w:rPr>
          <w:b/>
          <w:i/>
        </w:rPr>
        <w:t>Technical and professional capacity of candidate</w:t>
      </w:r>
    </w:p>
    <w:p w14:paraId="64DC321A" w14:textId="77777777" w:rsidR="00D402EB" w:rsidRPr="00A328A4" w:rsidRDefault="00D402EB" w:rsidP="009C1E79">
      <w:pPr>
        <w:numPr>
          <w:ilvl w:val="0"/>
          <w:numId w:val="24"/>
        </w:numPr>
        <w:ind w:left="1170" w:hanging="270"/>
      </w:pPr>
      <w:r>
        <w:t xml:space="preserve">The Tenderer must be a registered firm or natural person legally </w:t>
      </w:r>
      <w:r>
        <w:rPr>
          <w:lang w:val="sr-Latn-RS"/>
        </w:rPr>
        <w:t xml:space="preserve">capable of carrying out the specified works </w:t>
      </w:r>
      <w:r w:rsidRPr="00A328A4">
        <w:t>(</w:t>
      </w:r>
      <w:r w:rsidRPr="00A328A4">
        <w:rPr>
          <w:i/>
        </w:rPr>
        <w:t>in the case of a consortium, this requirement applies to all members of the consortium</w:t>
      </w:r>
      <w:r w:rsidRPr="00A328A4">
        <w:t>).</w:t>
      </w:r>
    </w:p>
    <w:p w14:paraId="6E7B0E85" w14:textId="77777777" w:rsidR="00D402EB" w:rsidRPr="00A8296F" w:rsidRDefault="00D402EB" w:rsidP="009C1E79">
      <w:pPr>
        <w:numPr>
          <w:ilvl w:val="0"/>
          <w:numId w:val="24"/>
        </w:numPr>
        <w:ind w:left="1170" w:hanging="270"/>
      </w:pPr>
      <w:r w:rsidRPr="00A8296F">
        <w:t xml:space="preserve">Tenderer must have completed at least one (1) contract, which includes construction and/or reconstruction of sewage network with a minimum length 10 km. The works contract must have been completed at any moment during the period of the past eight (8) years from the date of submission of tenders. </w:t>
      </w:r>
    </w:p>
    <w:p w14:paraId="01E906EC" w14:textId="77777777" w:rsidR="00D402EB" w:rsidRPr="00A8296F" w:rsidRDefault="00D402EB" w:rsidP="00D402EB">
      <w:pPr>
        <w:ind w:left="1170"/>
        <w:rPr>
          <w:b/>
          <w:u w:val="single"/>
        </w:rPr>
      </w:pPr>
      <w:r w:rsidRPr="00A8296F">
        <w:rPr>
          <w:b/>
          <w:u w:val="single"/>
        </w:rPr>
        <w:t>The above requirements are to be interpreted as follows:</w:t>
      </w:r>
    </w:p>
    <w:p w14:paraId="63BB2FEC" w14:textId="77777777" w:rsidR="00D402EB" w:rsidRPr="00A8296F" w:rsidRDefault="00D402EB" w:rsidP="00D402EB">
      <w:pPr>
        <w:ind w:left="1170"/>
      </w:pPr>
      <w:r w:rsidRPr="00A8296F">
        <w:t xml:space="preserve">a) </w:t>
      </w:r>
      <w:r w:rsidRPr="00A8296F">
        <w:tab/>
        <w:t>The tenderer “must have completed” the Works contracts - this means that the project the tenderer refers to could have been started/implemented/completed at any time during the indicated period but it does not necessarily have to be started and completed during that period</w:t>
      </w:r>
    </w:p>
    <w:p w14:paraId="1F2A66AD" w14:textId="3E30B779" w:rsidR="00D402EB" w:rsidRPr="00A8296F" w:rsidRDefault="00D402EB" w:rsidP="00D402EB">
      <w:pPr>
        <w:ind w:left="1170"/>
      </w:pPr>
      <w:r w:rsidRPr="00A8296F">
        <w:t xml:space="preserve">b) </w:t>
      </w:r>
      <w:r w:rsidRPr="00A8296F">
        <w:tab/>
      </w:r>
      <w:r w:rsidR="00E31B60" w:rsidRPr="00A8296F">
        <w:t xml:space="preserve">"Completed" means that the tenderer has in his possession “Taking over Certificate" (Provisional Acceptance Certificates) or "Performance Certificate" (Final Acceptance Certificates or equivalent certificates) </w:t>
      </w:r>
      <w:r w:rsidRPr="00A8296F">
        <w:t>for construction contracts issued. Copies (with translations into English) of any of the mentioned certificates signed by the relevant Supervisors/Contracting Authority/Employer of the contract concerned must be submitted to the Contracting Authority</w:t>
      </w:r>
    </w:p>
    <w:p w14:paraId="18535FEE" w14:textId="77777777" w:rsidR="00D402EB" w:rsidRPr="000F1C89" w:rsidRDefault="00D402EB" w:rsidP="001C3D5A">
      <w:pPr>
        <w:ind w:left="709"/>
      </w:pPr>
    </w:p>
    <w:p w14:paraId="70F1A4A2" w14:textId="77777777" w:rsidR="0041666A" w:rsidRPr="00D402EB" w:rsidRDefault="0041666A" w:rsidP="009C1E79">
      <w:pPr>
        <w:pStyle w:val="Heading4"/>
        <w:numPr>
          <w:ilvl w:val="2"/>
          <w:numId w:val="17"/>
        </w:numPr>
      </w:pPr>
      <w:r w:rsidRPr="00D402EB">
        <w:lastRenderedPageBreak/>
        <w:t>Capacity-providing entities:</w:t>
      </w:r>
    </w:p>
    <w:p w14:paraId="0145DBA8" w14:textId="77777777"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6998AABF"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rsidP="009C1E79">
      <w:pPr>
        <w:numPr>
          <w:ilvl w:val="0"/>
          <w:numId w:val="8"/>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9C1E79">
      <w:pPr>
        <w:numPr>
          <w:ilvl w:val="0"/>
          <w:numId w:val="8"/>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9C1E79">
      <w:pPr>
        <w:numPr>
          <w:ilvl w:val="0"/>
          <w:numId w:val="8"/>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19E2C6C9" w14:textId="77777777" w:rsidR="0068234B" w:rsidRPr="000F1C89" w:rsidRDefault="0068234B" w:rsidP="00D402EB">
      <w:pPr>
        <w:pStyle w:val="Heading2"/>
      </w:pPr>
      <w:bookmarkStart w:id="20" w:name="_Toc529523967"/>
      <w:r w:rsidRPr="000F1C89">
        <w:t>TENDER PRICES</w:t>
      </w:r>
      <w:bookmarkEnd w:id="20"/>
    </w:p>
    <w:p w14:paraId="2BF0DBB2" w14:textId="7855695F" w:rsidR="0068234B" w:rsidRPr="000F1C89" w:rsidRDefault="0068234B" w:rsidP="00D2731E">
      <w:pPr>
        <w:pStyle w:val="Heading3"/>
        <w:ind w:left="720"/>
      </w:pPr>
      <w:r w:rsidRPr="000F1C89">
        <w:t>The currency of the tender is the</w:t>
      </w:r>
      <w:r w:rsidR="00D402EB">
        <w:t xml:space="preserve"> </w:t>
      </w:r>
      <w:r w:rsidR="00975CA2" w:rsidRPr="00D402EB">
        <w:t>EUR</w:t>
      </w:r>
      <w:r w:rsidR="00E725FE" w:rsidRPr="00D402EB">
        <w:t>.</w:t>
      </w:r>
      <w:r w:rsidRPr="00D402EB">
        <w:rPr>
          <w:rStyle w:val="FootnoteReference"/>
        </w:rPr>
        <w:footnoteReference w:id="3"/>
      </w:r>
    </w:p>
    <w:p w14:paraId="44B1B217" w14:textId="77777777" w:rsidR="00D402EB" w:rsidRPr="00D402EB" w:rsidRDefault="00D402EB" w:rsidP="00D402EB">
      <w:pPr>
        <w:pStyle w:val="Heading3"/>
        <w:ind w:left="720" w:hanging="578"/>
      </w:pPr>
      <w:r w:rsidRPr="00D402EB">
        <w:t xml:space="preserve">The tenderer must provide a bill of quantities and price schedule for Lot 2 and for Lot 1 breakdown of the lump-sum price in euro. The tender price must cover all works as described in the tender documents. All sums in the bill of quantities and price schedule for Lot 2 and breakdown of the lump-sum price for Lot 1, the questionnaire and other documents must also be expressed in this currency, with the exception of originals of bank and annual financial statements. </w:t>
      </w:r>
    </w:p>
    <w:p w14:paraId="492EFA3D" w14:textId="77777777" w:rsidR="00D402EB" w:rsidRPr="00D402EB" w:rsidRDefault="00D402EB" w:rsidP="00D402EB">
      <w:pPr>
        <w:pStyle w:val="Heading3"/>
        <w:ind w:left="720" w:hanging="578"/>
      </w:pPr>
      <w:r w:rsidRPr="00D402EB">
        <w:t xml:space="preserve">Tenderers must quote all components of the bill of quantities and price schedule for Lot 2 and breakdown of the lump-sum price for Lot 1. No payment will be made for items which have </w:t>
      </w:r>
      <w:r w:rsidRPr="00D402EB">
        <w:lastRenderedPageBreak/>
        <w:t xml:space="preserve">not been costed; such items will be deemed to be covered by other items on the bill of quantities and price schedule for Lot 2 and breakdown of the lump-sum price for Lot 1.  </w:t>
      </w:r>
    </w:p>
    <w:p w14:paraId="5B1C70D4" w14:textId="77777777" w:rsidR="00D402EB" w:rsidRPr="00D402EB" w:rsidRDefault="00D402EB" w:rsidP="00D402EB">
      <w:pPr>
        <w:pStyle w:val="Heading3"/>
        <w:ind w:left="720" w:hanging="578"/>
      </w:pPr>
      <w:r w:rsidRPr="00D402EB">
        <w:t>If a discount is offered by the tenderer, it must be clearly specified in the bill of quantities and price schedule for Lot 2 and in breakdown of the lump-sum price for Lot 1 in Volume 4 and indicated in the tender form in Volume 1, Section 1.2. The discount must be quoted for all works.</w:t>
      </w:r>
    </w:p>
    <w:p w14:paraId="7AC5F253" w14:textId="77777777" w:rsidR="0068234B" w:rsidRPr="000F1C89" w:rsidRDefault="0068234B" w:rsidP="00D2731E">
      <w:pPr>
        <w:pStyle w:val="Heading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D402EB">
      <w:pPr>
        <w:pStyle w:val="Heading2"/>
      </w:pPr>
      <w:bookmarkStart w:id="21" w:name="_Toc529523968"/>
      <w:r w:rsidRPr="000F1C89">
        <w:t>PERIOD OF VALIDITY OF TENDERS</w:t>
      </w:r>
      <w:bookmarkEnd w:id="21"/>
    </w:p>
    <w:p w14:paraId="4F247CCA" w14:textId="77777777" w:rsidR="0068234B" w:rsidRPr="000F1C89" w:rsidRDefault="0068234B" w:rsidP="00D2731E">
      <w:pPr>
        <w:pStyle w:val="Heading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7777777" w:rsidR="0068234B" w:rsidRPr="000F1C89" w:rsidRDefault="0068234B" w:rsidP="00D2731E">
      <w:pPr>
        <w:pStyle w:val="Heading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w:t>
      </w:r>
      <w:proofErr w:type="gramStart"/>
      <w:r w:rsidR="00DB3B69" w:rsidRPr="000F1C89">
        <w:t>of</w:t>
      </w:r>
      <w:proofErr w:type="gramEnd"/>
      <w:r w:rsidR="00DB3B69" w:rsidRPr="000F1C89">
        <w:t xml:space="preserve">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D2731E">
      <w:pPr>
        <w:pStyle w:val="Heading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D402EB">
      <w:pPr>
        <w:pStyle w:val="Heading2"/>
      </w:pPr>
      <w:bookmarkStart w:id="22" w:name="_Toc529523969"/>
      <w:r w:rsidRPr="000F1C89">
        <w:t>TENDER GUARANTEE</w:t>
      </w:r>
      <w:bookmarkEnd w:id="22"/>
    </w:p>
    <w:p w14:paraId="2B9C4C9A" w14:textId="77777777" w:rsidR="00D402EB" w:rsidRPr="00734914" w:rsidRDefault="00D402EB" w:rsidP="00734914">
      <w:pPr>
        <w:pStyle w:val="Heading3"/>
        <w:ind w:left="720"/>
      </w:pPr>
      <w:r w:rsidRPr="00D402EB">
        <w:t xml:space="preserve">The tenderer must provide, as a part of its tender, a tender guarantee in the form set out in Volume 1, Section 3 of the tender dossier, or in another form acceptable to the contracting authority that meets the essential requirements set out therein. The tender guarantee must be for an amount of 500.000,00 EUR for Lot 1 and 350.000,00 EUR for Lot 2. The original guarantee </w:t>
      </w:r>
      <w:r w:rsidRPr="00734914">
        <w:t>must be included in the original tender.</w:t>
      </w:r>
    </w:p>
    <w:p w14:paraId="09186AE2" w14:textId="77777777" w:rsidR="0068234B" w:rsidRPr="00734914" w:rsidRDefault="0068234B" w:rsidP="00D2731E">
      <w:pPr>
        <w:pStyle w:val="Heading3"/>
        <w:ind w:left="680"/>
      </w:pPr>
      <w:r w:rsidRPr="00734914">
        <w:t>It may be provided in the form of a bank guarantee, a banker</w:t>
      </w:r>
      <w:r w:rsidR="00E725FE" w:rsidRPr="00734914">
        <w:t>’</w:t>
      </w:r>
      <w:r w:rsidRPr="00734914">
        <w:t xml:space="preserve">s draft, a certified cheque, a guarantee provided by an insurance and/or guarantee company or an irrevocable letter of credit made out to the </w:t>
      </w:r>
      <w:r w:rsidR="00F46499" w:rsidRPr="00734914">
        <w:t>c</w:t>
      </w:r>
      <w:r w:rsidRPr="00734914">
        <w:t xml:space="preserve">ontracting </w:t>
      </w:r>
      <w:r w:rsidR="00F46499" w:rsidRPr="00734914">
        <w:t>a</w:t>
      </w:r>
      <w:r w:rsidRPr="00734914">
        <w:t>uthority.</w:t>
      </w:r>
    </w:p>
    <w:p w14:paraId="08C9135B" w14:textId="77777777" w:rsidR="0068234B" w:rsidRPr="00734914" w:rsidRDefault="0068234B" w:rsidP="00D2731E">
      <w:pPr>
        <w:pStyle w:val="Heading3"/>
        <w:ind w:left="680"/>
      </w:pPr>
      <w:r w:rsidRPr="00734914">
        <w:t xml:space="preserve">The tender guarantee must remain valid for 45 days beyond the period of validity of the tender, including any extensions, and be issued to the </w:t>
      </w:r>
      <w:r w:rsidR="00F46499" w:rsidRPr="00734914">
        <w:t>c</w:t>
      </w:r>
      <w:r w:rsidRPr="00734914">
        <w:t xml:space="preserve">ontracting </w:t>
      </w:r>
      <w:r w:rsidR="00F46499" w:rsidRPr="00734914">
        <w:t>a</w:t>
      </w:r>
      <w:r w:rsidRPr="00734914">
        <w:t>uthority for the requisite amount.</w:t>
      </w:r>
    </w:p>
    <w:p w14:paraId="24F846D4" w14:textId="77777777" w:rsidR="0068234B" w:rsidRPr="00734914" w:rsidRDefault="0068234B" w:rsidP="00D2731E">
      <w:pPr>
        <w:pStyle w:val="Heading3"/>
        <w:ind w:left="680"/>
      </w:pPr>
      <w:r w:rsidRPr="00734914">
        <w:t>The tender guarantees of unsuccessful tenderers will be returned together with the information letter that the tenderer has been unsuccessful.</w:t>
      </w:r>
    </w:p>
    <w:p w14:paraId="63C1F267" w14:textId="5EEF12D9" w:rsidR="0068234B" w:rsidRPr="00734914" w:rsidRDefault="0068234B" w:rsidP="00D2731E">
      <w:pPr>
        <w:pStyle w:val="Heading3"/>
        <w:ind w:left="680"/>
      </w:pPr>
      <w:r w:rsidRPr="00734914">
        <w:lastRenderedPageBreak/>
        <w:t xml:space="preserve">The tender guarantee of the successful tenderer </w:t>
      </w:r>
      <w:r w:rsidR="004305FD" w:rsidRPr="00734914">
        <w:t>must</w:t>
      </w:r>
      <w:r w:rsidRPr="00734914">
        <w:t xml:space="preserve"> be released when the tenderer has signed the contract and provided the r</w:t>
      </w:r>
      <w:r w:rsidR="00D402EB" w:rsidRPr="00734914">
        <w:t>equisite performance guarantee.</w:t>
      </w:r>
    </w:p>
    <w:p w14:paraId="3BFB506B" w14:textId="77777777" w:rsidR="0068234B" w:rsidRPr="00656AED" w:rsidRDefault="0068234B" w:rsidP="00D402EB">
      <w:pPr>
        <w:pStyle w:val="Heading2"/>
      </w:pPr>
      <w:bookmarkStart w:id="23" w:name="_Toc529523970"/>
      <w:r w:rsidRPr="00656AED">
        <w:t>VARIANT SOLUTIONS</w:t>
      </w:r>
      <w:bookmarkEnd w:id="23"/>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Heading1"/>
      </w:pPr>
      <w:bookmarkStart w:id="24" w:name="_Toc529523971"/>
      <w:r w:rsidRPr="000F1C89">
        <w:t>SUBMISSION OF TENDERS</w:t>
      </w:r>
      <w:bookmarkEnd w:id="24"/>
    </w:p>
    <w:p w14:paraId="4CCA5186" w14:textId="09161221" w:rsidR="003A5D59" w:rsidRDefault="00E47308" w:rsidP="00D402EB">
      <w:pPr>
        <w:pStyle w:val="Heading2"/>
        <w:numPr>
          <w:ilvl w:val="0"/>
          <w:numId w:val="0"/>
        </w:numPr>
        <w:ind w:left="576"/>
        <w:rPr>
          <w:lang w:val="el-GR"/>
        </w:rPr>
      </w:pPr>
      <w:bookmarkStart w:id="25" w:name="_Toc529523972"/>
      <w:r>
        <w:t xml:space="preserve">17. </w:t>
      </w:r>
      <w:r>
        <w:tab/>
      </w:r>
      <w:r w:rsidR="0068234B" w:rsidRPr="000F1C89">
        <w:t>SUBMI</w:t>
      </w:r>
      <w:r w:rsidR="00BB31D8" w:rsidRPr="000F1C89">
        <w:t>TTING</w:t>
      </w:r>
      <w:r w:rsidR="0068234B" w:rsidRPr="000F1C89">
        <w:t xml:space="preserve"> TENDERS</w:t>
      </w:r>
      <w:bookmarkEnd w:id="25"/>
    </w:p>
    <w:p w14:paraId="500E08C6" w14:textId="54F652D7" w:rsidR="00C15024" w:rsidRPr="00734914" w:rsidRDefault="00734914" w:rsidP="009C1E79">
      <w:pPr>
        <w:pStyle w:val="Heading3"/>
        <w:numPr>
          <w:ilvl w:val="1"/>
          <w:numId w:val="18"/>
        </w:numPr>
        <w:ind w:left="540"/>
      </w:pPr>
      <w:r w:rsidRPr="00734914">
        <w:t xml:space="preserve">The complete tender must be submitted in one original, clearly marked ‘original’ and 5 (five) copies, clearly marked ‘copy’. In the event of any discrepancy between them, the original will prevail. Complete Tender shall be also submitted in one electronic copy, on a CD. Schedules of Prices (breakdown of the lump sum price) and bill of quantities shall also be submitted in Excel. </w:t>
      </w:r>
      <w:r w:rsidRPr="00734914">
        <w:rPr>
          <w:b/>
        </w:rPr>
        <w:t>The Contract title and the Publication reference and number of the lot must be clearly marked on the envelope containing the application and must always be mentioned in all subsequent correspondence with the Contracting Authority.</w:t>
      </w:r>
      <w:r>
        <w:t xml:space="preserve"> </w:t>
      </w:r>
    </w:p>
    <w:p w14:paraId="6AB55E83" w14:textId="0CF7C9D9" w:rsidR="0068234B" w:rsidRPr="00734914" w:rsidRDefault="0068234B" w:rsidP="009C1E79">
      <w:pPr>
        <w:pStyle w:val="Heading3"/>
        <w:numPr>
          <w:ilvl w:val="1"/>
          <w:numId w:val="18"/>
        </w:numPr>
      </w:pPr>
      <w:r w:rsidRPr="00734914">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734914" w:rsidRDefault="003A5D59" w:rsidP="00D2731E">
      <w:pPr>
        <w:pStyle w:val="Heading3"/>
        <w:numPr>
          <w:ilvl w:val="0"/>
          <w:numId w:val="0"/>
        </w:numPr>
        <w:ind w:left="142"/>
      </w:pPr>
      <w:r w:rsidRPr="00734914">
        <w:t xml:space="preserve">17.3 </w:t>
      </w:r>
      <w:r w:rsidR="0068234B" w:rsidRPr="00734914">
        <w:t xml:space="preserve">All tenders must </w:t>
      </w:r>
      <w:r w:rsidR="000A21E4" w:rsidRPr="00734914">
        <w:t>be sent to t</w:t>
      </w:r>
      <w:r w:rsidR="0068234B" w:rsidRPr="00734914">
        <w:t xml:space="preserve">he </w:t>
      </w:r>
      <w:r w:rsidR="00D3192F" w:rsidRPr="00734914">
        <w:t>c</w:t>
      </w:r>
      <w:r w:rsidR="0068234B" w:rsidRPr="00734914">
        <w:t xml:space="preserve">ontracting </w:t>
      </w:r>
      <w:r w:rsidR="00D3192F" w:rsidRPr="00734914">
        <w:t>a</w:t>
      </w:r>
      <w:r w:rsidR="0068234B" w:rsidRPr="00734914">
        <w:t>uthority before the deadline s</w:t>
      </w:r>
      <w:r w:rsidR="00DB7E68" w:rsidRPr="00734914">
        <w:t>et</w:t>
      </w:r>
      <w:r w:rsidR="0068234B" w:rsidRPr="00734914">
        <w:t xml:space="preserve"> in the </w:t>
      </w:r>
      <w:r w:rsidR="00D3192F" w:rsidRPr="00734914">
        <w:t>c</w:t>
      </w:r>
      <w:r w:rsidR="001F2D2F" w:rsidRPr="00734914">
        <w:t>ontract notice</w:t>
      </w:r>
      <w:r w:rsidR="000A21E4" w:rsidRPr="00734914">
        <w:t>.</w:t>
      </w:r>
    </w:p>
    <w:p w14:paraId="1E14AFCB" w14:textId="77777777" w:rsidR="0026034F" w:rsidRPr="00734914" w:rsidRDefault="0026034F" w:rsidP="000A7BE8"/>
    <w:p w14:paraId="1AA8B67F" w14:textId="08D4E131" w:rsidR="0026034F" w:rsidRPr="00734914" w:rsidRDefault="0026034F" w:rsidP="000A7BE8">
      <w:r w:rsidRPr="00734914">
        <w:t xml:space="preserve">Participants may choose to submit </w:t>
      </w:r>
      <w:r w:rsidR="00372429" w:rsidRPr="00734914">
        <w:t>their tender</w:t>
      </w:r>
      <w:r w:rsidRPr="00734914">
        <w:t xml:space="preserve">: </w:t>
      </w:r>
    </w:p>
    <w:p w14:paraId="556DDF02" w14:textId="77777777" w:rsidR="0026034F" w:rsidRPr="00734914" w:rsidRDefault="0026034F" w:rsidP="000A7BE8">
      <w:r w:rsidRPr="00734914">
        <w:t xml:space="preserve">(a) </w:t>
      </w:r>
      <w:proofErr w:type="gramStart"/>
      <w:r w:rsidRPr="00734914">
        <w:t>either</w:t>
      </w:r>
      <w:proofErr w:type="gramEnd"/>
      <w:r w:rsidRPr="00734914">
        <w:t xml:space="preserve"> by post or by courier service, in which case the evidence shall be constituted by the postmark or the date of the deposit slip</w:t>
      </w:r>
      <w:r w:rsidR="000A21E4" w:rsidRPr="00734914">
        <w:rPr>
          <w:rStyle w:val="FootnoteReference"/>
        </w:rPr>
        <w:footnoteReference w:id="4"/>
      </w:r>
      <w:r w:rsidRPr="00734914">
        <w:rPr>
          <w:b/>
        </w:rPr>
        <w:t xml:space="preserve">. </w:t>
      </w:r>
      <w:r w:rsidRPr="00734914">
        <w:t>In such case</w:t>
      </w:r>
      <w:r w:rsidRPr="00734914">
        <w:rPr>
          <w:b/>
        </w:rPr>
        <w:t xml:space="preserve">, </w:t>
      </w:r>
      <w:r w:rsidR="00D3192F" w:rsidRPr="00734914">
        <w:t>t</w:t>
      </w:r>
      <w:r w:rsidRPr="00734914">
        <w:t>he tender must be sent to the following address:</w:t>
      </w:r>
    </w:p>
    <w:p w14:paraId="2398D0D1" w14:textId="77777777" w:rsidR="00734914" w:rsidRPr="00734914" w:rsidRDefault="006D46E8" w:rsidP="00734914">
      <w:pPr>
        <w:spacing w:after="0"/>
        <w:ind w:left="1134"/>
        <w:jc w:val="center"/>
        <w:rPr>
          <w:snapToGrid/>
        </w:rPr>
      </w:pPr>
      <w:r w:rsidRPr="00734914">
        <w:rPr>
          <w:szCs w:val="22"/>
        </w:rPr>
        <w:br/>
      </w:r>
      <w:r w:rsidR="00734914" w:rsidRPr="00734914">
        <w:t>Ministry of Finance,</w:t>
      </w:r>
    </w:p>
    <w:p w14:paraId="388FAA02" w14:textId="77777777" w:rsidR="00734914" w:rsidRPr="00734914" w:rsidRDefault="00734914" w:rsidP="00734914">
      <w:pPr>
        <w:spacing w:after="0"/>
        <w:ind w:left="1134"/>
        <w:jc w:val="center"/>
      </w:pPr>
      <w:r w:rsidRPr="00734914">
        <w:t>Government of the Republic of Serbia Department for Contracting and Financing of EU Funded Programmes (CFCU)</w:t>
      </w:r>
    </w:p>
    <w:p w14:paraId="7A79DE86" w14:textId="77777777" w:rsidR="00734914" w:rsidRPr="00734914" w:rsidRDefault="00734914" w:rsidP="00734914">
      <w:pPr>
        <w:spacing w:after="0"/>
        <w:ind w:left="1134"/>
        <w:jc w:val="center"/>
      </w:pPr>
      <w:r w:rsidRPr="00734914">
        <w:t>Division for Tender Evaluation and Contracting</w:t>
      </w:r>
    </w:p>
    <w:p w14:paraId="305AA5AE" w14:textId="77777777" w:rsidR="00734914" w:rsidRPr="00734914" w:rsidRDefault="00734914" w:rsidP="00734914">
      <w:pPr>
        <w:spacing w:after="0"/>
        <w:ind w:left="1134"/>
        <w:jc w:val="center"/>
      </w:pPr>
      <w:r w:rsidRPr="00734914">
        <w:t xml:space="preserve">3-5, Sremska St., VII floor, Office 701, </w:t>
      </w:r>
    </w:p>
    <w:p w14:paraId="2092C660" w14:textId="77777777" w:rsidR="00734914" w:rsidRPr="00734914" w:rsidRDefault="00734914" w:rsidP="00734914">
      <w:pPr>
        <w:spacing w:after="0"/>
        <w:ind w:left="1134"/>
        <w:jc w:val="center"/>
      </w:pPr>
      <w:r w:rsidRPr="00734914">
        <w:t>11000 Belgrade, Republic of Serbia</w:t>
      </w:r>
    </w:p>
    <w:p w14:paraId="73AE1A45" w14:textId="0CEAB7C6" w:rsidR="0026034F" w:rsidRPr="00734914" w:rsidRDefault="006D46E8" w:rsidP="00D2731E">
      <w:pPr>
        <w:pStyle w:val="Blockquote"/>
        <w:keepNext/>
        <w:keepLines/>
        <w:spacing w:before="120" w:after="120"/>
        <w:jc w:val="center"/>
      </w:pPr>
      <w:r w:rsidRPr="00734914">
        <w:rPr>
          <w:szCs w:val="22"/>
        </w:rPr>
        <w:br/>
      </w:r>
    </w:p>
    <w:p w14:paraId="7932B256" w14:textId="77777777" w:rsidR="0026034F" w:rsidRPr="00734914" w:rsidRDefault="0026034F" w:rsidP="000A7BE8">
      <w:r w:rsidRPr="00734914">
        <w:t xml:space="preserve">(b) </w:t>
      </w:r>
      <w:proofErr w:type="gramStart"/>
      <w:r w:rsidR="00CF4644" w:rsidRPr="00734914">
        <w:t>or</w:t>
      </w:r>
      <w:proofErr w:type="gramEnd"/>
      <w:r w:rsidR="00CF4644" w:rsidRPr="00734914">
        <w:t xml:space="preserve"> </w:t>
      </w:r>
      <w:r w:rsidRPr="00734914">
        <w:t xml:space="preserve">by hand-delivery to the premises of the </w:t>
      </w:r>
      <w:r w:rsidR="000A21E4" w:rsidRPr="00734914">
        <w:t xml:space="preserve">contracting authority </w:t>
      </w:r>
      <w:r w:rsidRPr="00734914">
        <w:t xml:space="preserve"> by the participant in person or by an agent, in which case the evidence shall be constituted by acknowledgment of receipt.  If tenders are hand delivered they should be delivered to the following address:</w:t>
      </w:r>
    </w:p>
    <w:p w14:paraId="60FCD73A" w14:textId="77777777" w:rsidR="00734914" w:rsidRPr="00734914" w:rsidRDefault="006D46E8" w:rsidP="00734914">
      <w:pPr>
        <w:spacing w:after="0"/>
        <w:ind w:left="1134"/>
        <w:jc w:val="center"/>
        <w:rPr>
          <w:snapToGrid/>
        </w:rPr>
      </w:pPr>
      <w:r w:rsidRPr="00734914">
        <w:rPr>
          <w:szCs w:val="22"/>
        </w:rPr>
        <w:br/>
      </w:r>
      <w:r w:rsidR="00734914" w:rsidRPr="00734914">
        <w:t>Ministry of Finance,</w:t>
      </w:r>
    </w:p>
    <w:p w14:paraId="5ED9B20C" w14:textId="77777777" w:rsidR="00734914" w:rsidRPr="00734914" w:rsidRDefault="00734914" w:rsidP="00734914">
      <w:pPr>
        <w:spacing w:after="0"/>
        <w:ind w:left="1134"/>
        <w:jc w:val="center"/>
      </w:pPr>
      <w:r w:rsidRPr="00734914">
        <w:t>Government of the Republic of Serbia Department for Contracting and Financing of EU Funded Programmes (CFCU)</w:t>
      </w:r>
    </w:p>
    <w:p w14:paraId="6090585D" w14:textId="77777777" w:rsidR="00734914" w:rsidRPr="00734914" w:rsidRDefault="00734914" w:rsidP="00734914">
      <w:pPr>
        <w:spacing w:after="0"/>
        <w:ind w:left="1134"/>
        <w:jc w:val="center"/>
      </w:pPr>
      <w:r w:rsidRPr="00734914">
        <w:t>Division for Tender Evaluation and Contracting</w:t>
      </w:r>
    </w:p>
    <w:p w14:paraId="1C9AD81B" w14:textId="77777777" w:rsidR="00734914" w:rsidRPr="00734914" w:rsidRDefault="00734914" w:rsidP="00734914">
      <w:pPr>
        <w:spacing w:after="0"/>
        <w:ind w:left="1134"/>
        <w:jc w:val="center"/>
      </w:pPr>
      <w:r w:rsidRPr="00734914">
        <w:lastRenderedPageBreak/>
        <w:t xml:space="preserve">3-5, Sremska St., VII floor, Office 701 </w:t>
      </w:r>
    </w:p>
    <w:p w14:paraId="7B6141FF" w14:textId="77777777" w:rsidR="00734914" w:rsidRPr="00734914" w:rsidRDefault="00734914" w:rsidP="00734914">
      <w:pPr>
        <w:spacing w:after="0"/>
        <w:ind w:left="1134"/>
        <w:jc w:val="center"/>
      </w:pPr>
      <w:r w:rsidRPr="00734914">
        <w:t>11000 Belgrade, Republic of Serbia</w:t>
      </w:r>
    </w:p>
    <w:p w14:paraId="5D2DCAB2" w14:textId="77777777" w:rsidR="00734914" w:rsidRDefault="00734914" w:rsidP="00734914">
      <w:pPr>
        <w:spacing w:after="0"/>
        <w:ind w:left="1134"/>
        <w:jc w:val="center"/>
      </w:pPr>
      <w:r w:rsidRPr="00734914">
        <w:t>Opening hours: 8:00 – 15:00 CET</w:t>
      </w:r>
    </w:p>
    <w:p w14:paraId="309FD274" w14:textId="7FAB12CA" w:rsidR="006D46E8" w:rsidRDefault="006D46E8" w:rsidP="00D2731E">
      <w:pPr>
        <w:pStyle w:val="Blockquote"/>
        <w:spacing w:before="120" w:after="120"/>
        <w:jc w:val="center"/>
        <w:rPr>
          <w:rStyle w:val="Strong"/>
          <w:szCs w:val="22"/>
        </w:rPr>
      </w:pPr>
      <w:r w:rsidRPr="002B370E">
        <w:rPr>
          <w:rStyle w:val="Emphasis"/>
          <w:szCs w:val="22"/>
        </w:rPr>
        <w:br/>
      </w:r>
      <w:r w:rsidRPr="002B370E">
        <w:rPr>
          <w:szCs w:val="22"/>
        </w:rPr>
        <w:br/>
      </w:r>
    </w:p>
    <w:p w14:paraId="7E597DA9" w14:textId="531780DC" w:rsidR="0026034F" w:rsidRPr="00734914" w:rsidRDefault="00CF4644" w:rsidP="00C7466B">
      <w:r w:rsidRPr="00734914">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734914">
        <w:t xml:space="preserve"> </w:t>
      </w:r>
      <w:r w:rsidRPr="00734914">
        <w:t>or jeopardise decisions already taken and notified.</w:t>
      </w:r>
    </w:p>
    <w:p w14:paraId="2EC62429" w14:textId="4A9377EE" w:rsidR="0068234B" w:rsidRPr="00734914" w:rsidRDefault="003A5D59" w:rsidP="00D2731E">
      <w:pPr>
        <w:pStyle w:val="Heading3"/>
        <w:numPr>
          <w:ilvl w:val="0"/>
          <w:numId w:val="0"/>
        </w:numPr>
        <w:ind w:left="862" w:hanging="720"/>
      </w:pPr>
      <w:r w:rsidRPr="00734914">
        <w:t xml:space="preserve">17.4 </w:t>
      </w:r>
      <w:r w:rsidR="0068234B" w:rsidRPr="00734914">
        <w:t>Tenders, including annexes and all supporting documents, must be submitted in a sealed envelope bearing only:</w:t>
      </w:r>
    </w:p>
    <w:p w14:paraId="02660ADF" w14:textId="77777777" w:rsidR="0068234B" w:rsidRPr="00734914" w:rsidRDefault="0068234B" w:rsidP="009C1E79">
      <w:pPr>
        <w:numPr>
          <w:ilvl w:val="0"/>
          <w:numId w:val="9"/>
        </w:numPr>
        <w:ind w:left="1560"/>
      </w:pPr>
      <w:r w:rsidRPr="00734914">
        <w:t>the above address;</w:t>
      </w:r>
    </w:p>
    <w:p w14:paraId="1FBBB58D" w14:textId="7FAF87F3" w:rsidR="0068234B" w:rsidRPr="00734914" w:rsidRDefault="0068234B" w:rsidP="009C1E79">
      <w:pPr>
        <w:numPr>
          <w:ilvl w:val="0"/>
          <w:numId w:val="9"/>
        </w:numPr>
        <w:ind w:left="1560"/>
      </w:pPr>
      <w:r w:rsidRPr="00734914">
        <w:t>the reference code of this tender procedure</w:t>
      </w:r>
      <w:r w:rsidR="00734914" w:rsidRPr="00734914">
        <w:t>, (</w:t>
      </w:r>
      <w:proofErr w:type="spellStart"/>
      <w:r w:rsidR="00734914" w:rsidRPr="00734914">
        <w:t>i.e</w:t>
      </w:r>
      <w:proofErr w:type="spellEnd"/>
      <w:r w:rsidR="00734914" w:rsidRPr="00734914">
        <w:t xml:space="preserve"> NEAR/BEG/2021/EA-OP/0122</w:t>
      </w:r>
      <w:r w:rsidRPr="00734914">
        <w:t>);</w:t>
      </w:r>
    </w:p>
    <w:p w14:paraId="7F309FF6" w14:textId="77777777" w:rsidR="0068234B" w:rsidRPr="00734914" w:rsidRDefault="0068234B" w:rsidP="009C1E79">
      <w:pPr>
        <w:numPr>
          <w:ilvl w:val="0"/>
          <w:numId w:val="9"/>
        </w:numPr>
        <w:ind w:left="1560"/>
      </w:pPr>
      <w:r w:rsidRPr="00734914">
        <w:t>where applicable, the number of the lot(s) tendered for;</w:t>
      </w:r>
    </w:p>
    <w:p w14:paraId="0775AAFD" w14:textId="51D98F08" w:rsidR="0068234B" w:rsidRPr="00734914" w:rsidRDefault="0068234B" w:rsidP="009C1E79">
      <w:pPr>
        <w:numPr>
          <w:ilvl w:val="0"/>
          <w:numId w:val="9"/>
        </w:numPr>
        <w:ind w:left="1560"/>
      </w:pPr>
      <w:proofErr w:type="gramStart"/>
      <w:r w:rsidRPr="00734914">
        <w:t>the</w:t>
      </w:r>
      <w:proofErr w:type="gramEnd"/>
      <w:r w:rsidRPr="00734914">
        <w:t xml:space="preserve"> words </w:t>
      </w:r>
      <w:r w:rsidR="00E725FE" w:rsidRPr="00734914">
        <w:t>‘</w:t>
      </w:r>
      <w:r w:rsidRPr="00734914">
        <w:t>Not to be opened before the tender opening session</w:t>
      </w:r>
      <w:r w:rsidR="00E725FE" w:rsidRPr="00734914">
        <w:t>’</w:t>
      </w:r>
      <w:r w:rsidRPr="00734914">
        <w:t xml:space="preserve"> in the language of the tender dossier and </w:t>
      </w:r>
      <w:r w:rsidR="00734914" w:rsidRPr="00734914">
        <w:rPr>
          <w:b/>
          <w:bCs/>
        </w:rPr>
        <w:t xml:space="preserve">"Ne </w:t>
      </w:r>
      <w:proofErr w:type="spellStart"/>
      <w:r w:rsidR="00734914" w:rsidRPr="00734914">
        <w:rPr>
          <w:b/>
          <w:bCs/>
        </w:rPr>
        <w:t>otvarati</w:t>
      </w:r>
      <w:proofErr w:type="spellEnd"/>
      <w:r w:rsidR="00734914" w:rsidRPr="00734914">
        <w:rPr>
          <w:b/>
          <w:bCs/>
        </w:rPr>
        <w:t xml:space="preserve"> pre </w:t>
      </w:r>
      <w:proofErr w:type="spellStart"/>
      <w:r w:rsidR="00734914" w:rsidRPr="00734914">
        <w:rPr>
          <w:b/>
          <w:bCs/>
        </w:rPr>
        <w:t>javnog</w:t>
      </w:r>
      <w:proofErr w:type="spellEnd"/>
      <w:r w:rsidR="00734914" w:rsidRPr="00734914">
        <w:rPr>
          <w:b/>
          <w:bCs/>
        </w:rPr>
        <w:t xml:space="preserve"> </w:t>
      </w:r>
      <w:proofErr w:type="spellStart"/>
      <w:r w:rsidR="00734914" w:rsidRPr="00734914">
        <w:rPr>
          <w:b/>
          <w:bCs/>
        </w:rPr>
        <w:t>otvaranja</w:t>
      </w:r>
      <w:proofErr w:type="spellEnd"/>
      <w:r w:rsidR="00734914" w:rsidRPr="00734914">
        <w:rPr>
          <w:b/>
          <w:bCs/>
        </w:rPr>
        <w:t xml:space="preserve"> </w:t>
      </w:r>
      <w:proofErr w:type="spellStart"/>
      <w:r w:rsidR="00734914" w:rsidRPr="00734914">
        <w:rPr>
          <w:b/>
          <w:bCs/>
        </w:rPr>
        <w:t>ponuda</w:t>
      </w:r>
      <w:proofErr w:type="spellEnd"/>
      <w:r w:rsidR="00734914" w:rsidRPr="00734914">
        <w:rPr>
          <w:b/>
          <w:bCs/>
        </w:rPr>
        <w:t>".</w:t>
      </w:r>
    </w:p>
    <w:p w14:paraId="482D60E2" w14:textId="1B52D2D3" w:rsidR="0068234B" w:rsidRPr="00734914" w:rsidRDefault="0068234B" w:rsidP="009C1E79">
      <w:pPr>
        <w:numPr>
          <w:ilvl w:val="0"/>
          <w:numId w:val="9"/>
        </w:numPr>
        <w:ind w:left="1560"/>
      </w:pPr>
      <w:proofErr w:type="gramStart"/>
      <w:r w:rsidRPr="00734914">
        <w:t>the</w:t>
      </w:r>
      <w:proofErr w:type="gramEnd"/>
      <w:r w:rsidRPr="00734914">
        <w:t xml:space="preserve"> name of the tenderer.</w:t>
      </w:r>
    </w:p>
    <w:p w14:paraId="0FEAA80E" w14:textId="77777777" w:rsidR="0068234B" w:rsidRPr="000F1C89" w:rsidRDefault="00E47308" w:rsidP="00D402EB">
      <w:pPr>
        <w:pStyle w:val="Heading2"/>
        <w:numPr>
          <w:ilvl w:val="0"/>
          <w:numId w:val="0"/>
        </w:numPr>
        <w:ind w:left="576"/>
      </w:pPr>
      <w:bookmarkStart w:id="26" w:name="_Toc529523973"/>
      <w:r>
        <w:t>18.</w:t>
      </w:r>
      <w:r>
        <w:tab/>
      </w:r>
      <w:r w:rsidR="0068234B" w:rsidRPr="000F1C89">
        <w:t>EXTENSION OF THE DEADLINE FOR SUBMI</w:t>
      </w:r>
      <w:r w:rsidR="00FF1C64" w:rsidRPr="000F1C89">
        <w:t>TTING</w:t>
      </w:r>
      <w:r w:rsidR="0068234B" w:rsidRPr="000F1C89">
        <w:t xml:space="preserve"> TENDERS</w:t>
      </w:r>
      <w:bookmarkEnd w:id="26"/>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402EB">
      <w:pPr>
        <w:pStyle w:val="Heading2"/>
        <w:numPr>
          <w:ilvl w:val="0"/>
          <w:numId w:val="0"/>
        </w:numPr>
        <w:ind w:left="576"/>
      </w:pPr>
      <w:bookmarkStart w:id="27" w:name="_Toc529523974"/>
      <w:r>
        <w:t>19.</w:t>
      </w:r>
      <w:r>
        <w:tab/>
      </w:r>
      <w:r w:rsidR="0068234B" w:rsidRPr="000F1C89">
        <w:t>LATE TENDERS</w:t>
      </w:r>
      <w:bookmarkEnd w:id="27"/>
    </w:p>
    <w:p w14:paraId="3930D6E7" w14:textId="102C1576"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Heading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734914" w:rsidRDefault="00E47308" w:rsidP="00D402EB">
      <w:pPr>
        <w:pStyle w:val="Heading2"/>
        <w:numPr>
          <w:ilvl w:val="0"/>
          <w:numId w:val="0"/>
        </w:numPr>
        <w:ind w:left="576"/>
      </w:pPr>
      <w:bookmarkStart w:id="28" w:name="_Toc529523975"/>
      <w:r w:rsidRPr="00734914">
        <w:t>20.</w:t>
      </w:r>
      <w:r w:rsidRPr="00734914">
        <w:tab/>
      </w:r>
      <w:r w:rsidR="0068234B" w:rsidRPr="00734914">
        <w:t>ALTER</w:t>
      </w:r>
      <w:r w:rsidR="00FF1C64" w:rsidRPr="00734914">
        <w:t>ING</w:t>
      </w:r>
      <w:r w:rsidR="0068234B" w:rsidRPr="00734914">
        <w:t xml:space="preserve"> AND WITHDRAW</w:t>
      </w:r>
      <w:r w:rsidR="00FF1C64" w:rsidRPr="00734914">
        <w:t>ING</w:t>
      </w:r>
      <w:r w:rsidR="0068234B" w:rsidRPr="00734914">
        <w:t xml:space="preserve"> TENDERS</w:t>
      </w:r>
      <w:bookmarkEnd w:id="28"/>
    </w:p>
    <w:p w14:paraId="1BDF811E" w14:textId="0BA596BC" w:rsidR="00CB381A" w:rsidRPr="00734914" w:rsidRDefault="00CB381A" w:rsidP="00734914">
      <w:pPr>
        <w:pStyle w:val="Heading3"/>
        <w:numPr>
          <w:ilvl w:val="0"/>
          <w:numId w:val="0"/>
        </w:numPr>
        <w:ind w:left="720" w:hanging="720"/>
      </w:pPr>
      <w:r w:rsidRPr="00734914">
        <w:t xml:space="preserve">20.1 </w:t>
      </w:r>
      <w:r w:rsidR="00734914" w:rsidRPr="00734914">
        <w:tab/>
        <w:t>Tenderers may alter or withdraw their tenders by written notification prior to the above deadline. No tender may be altered after the deadline for submission. Withdrawals must be unconditional and will end all participation in the tender procedure</w:t>
      </w:r>
    </w:p>
    <w:p w14:paraId="2FD20FFE" w14:textId="1413434B" w:rsidR="0068234B" w:rsidRPr="00CB381A" w:rsidRDefault="00CB381A" w:rsidP="00734914">
      <w:pPr>
        <w:pStyle w:val="Heading3"/>
        <w:numPr>
          <w:ilvl w:val="0"/>
          <w:numId w:val="0"/>
        </w:numPr>
        <w:ind w:left="720" w:hanging="810"/>
      </w:pPr>
      <w:r w:rsidRPr="00734914">
        <w:t>20.2</w:t>
      </w:r>
      <w:r w:rsidRPr="00734914">
        <w:rPr>
          <w:snapToGrid w:val="0"/>
        </w:rPr>
        <w:t xml:space="preserve"> </w:t>
      </w:r>
      <w:r w:rsidR="00734914" w:rsidRPr="00734914">
        <w:rPr>
          <w:snapToGrid w:val="0"/>
        </w:rPr>
        <w:t xml:space="preserve">     </w:t>
      </w:r>
      <w:r w:rsidRPr="00734914">
        <w:rPr>
          <w:snapToGrid w:val="0"/>
        </w:rPr>
        <w:t>Any notification of alteration or withdrawal must be prepared and submitted in accordance with Clause 17, and the envelope must be marked ‘alteration’ or ‘withdrawal’, as appropriate</w:t>
      </w:r>
      <w:r w:rsidRPr="00734914">
        <w:t>.</w:t>
      </w:r>
    </w:p>
    <w:p w14:paraId="5895A986" w14:textId="7642F8EF" w:rsidR="0068234B" w:rsidRPr="000F1C89" w:rsidRDefault="00E47308" w:rsidP="00D2731E">
      <w:pPr>
        <w:pStyle w:val="Heading3"/>
        <w:numPr>
          <w:ilvl w:val="0"/>
          <w:numId w:val="0"/>
        </w:numPr>
        <w:ind w:left="720" w:hanging="720"/>
      </w:pPr>
      <w:r>
        <w:t>20.</w:t>
      </w:r>
      <w:r w:rsidR="00CB381A">
        <w:t xml:space="preserve">3 </w:t>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2731E">
      <w:pPr>
        <w:pStyle w:val="Heading1"/>
        <w:numPr>
          <w:ilvl w:val="0"/>
          <w:numId w:val="0"/>
        </w:numPr>
        <w:ind w:left="420"/>
      </w:pPr>
      <w:bookmarkStart w:id="29" w:name="_Toc529523976"/>
      <w:r w:rsidRPr="000F1C89">
        <w:lastRenderedPageBreak/>
        <w:t>OPENING AND EVALUATIN</w:t>
      </w:r>
      <w:r w:rsidR="00FF1C64" w:rsidRPr="000F1C89">
        <w:t>G</w:t>
      </w:r>
      <w:r w:rsidRPr="000F1C89">
        <w:t xml:space="preserve"> TENDERS</w:t>
      </w:r>
      <w:bookmarkEnd w:id="29"/>
    </w:p>
    <w:p w14:paraId="7C4D2000" w14:textId="77777777" w:rsidR="0068234B" w:rsidRPr="000F1C89" w:rsidRDefault="00E47308" w:rsidP="00D402EB">
      <w:pPr>
        <w:pStyle w:val="Heading2"/>
        <w:numPr>
          <w:ilvl w:val="0"/>
          <w:numId w:val="0"/>
        </w:numPr>
        <w:ind w:left="576"/>
      </w:pPr>
      <w:bookmarkStart w:id="30" w:name="_Toc529523977"/>
      <w:r>
        <w:t>21.</w:t>
      </w:r>
      <w:r>
        <w:tab/>
      </w:r>
      <w:r w:rsidR="0068234B" w:rsidRPr="000F1C89">
        <w:t>OPENING TENDERS</w:t>
      </w:r>
      <w:bookmarkEnd w:id="30"/>
    </w:p>
    <w:p w14:paraId="35D1A766" w14:textId="604C8692"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14:paraId="7E9C793C" w14:textId="77777777" w:rsidR="00734914" w:rsidRDefault="00E47308" w:rsidP="00734914">
      <w:pPr>
        <w:pStyle w:val="Heading3"/>
        <w:numPr>
          <w:ilvl w:val="0"/>
          <w:numId w:val="0"/>
        </w:numPr>
        <w:ind w:left="720" w:hanging="720"/>
      </w:pPr>
      <w:r>
        <w:t>21.2</w:t>
      </w:r>
      <w:r>
        <w:tab/>
      </w:r>
      <w:r w:rsidR="008C5BCA" w:rsidRPr="00734914">
        <w:rPr>
          <w:snapToGrid w:val="0"/>
          <w:szCs w:val="20"/>
        </w:rPr>
        <w:t>The opening session should be held at least one week after the deadline for submission of tenders.</w:t>
      </w:r>
    </w:p>
    <w:p w14:paraId="470FBBC3" w14:textId="53E3E4E9" w:rsidR="0068234B" w:rsidRPr="00734914" w:rsidRDefault="00734914" w:rsidP="00734914">
      <w:pPr>
        <w:pStyle w:val="Heading3"/>
        <w:numPr>
          <w:ilvl w:val="0"/>
          <w:numId w:val="0"/>
        </w:numPr>
        <w:ind w:left="720" w:hanging="11"/>
      </w:pPr>
      <w:r w:rsidRPr="00734914">
        <w:t xml:space="preserve"> </w:t>
      </w:r>
      <w:r w:rsidR="0068234B" w:rsidRPr="00734914">
        <w:t xml:space="preserve">Tenders will be opened in public session </w:t>
      </w:r>
      <w:r w:rsidR="00891A55" w:rsidRPr="00734914">
        <w:t>by the appointed committee</w:t>
      </w:r>
      <w:r w:rsidR="00891A55" w:rsidRPr="00734914" w:rsidDel="00891A55">
        <w:t xml:space="preserve"> </w:t>
      </w:r>
      <w:r w:rsidR="006F177A" w:rsidRPr="00734914">
        <w:t xml:space="preserve">on </w:t>
      </w:r>
      <w:r w:rsidR="00891A55" w:rsidRPr="00734914">
        <w:t xml:space="preserve">the </w:t>
      </w:r>
      <w:r w:rsidR="006F177A" w:rsidRPr="00734914">
        <w:t>date</w:t>
      </w:r>
      <w:r w:rsidR="00891A55" w:rsidRPr="00734914">
        <w:t xml:space="preserve"> and</w:t>
      </w:r>
      <w:r w:rsidR="006F177A" w:rsidRPr="00734914">
        <w:t xml:space="preserve"> time and</w:t>
      </w:r>
      <w:r w:rsidR="00891A55" w:rsidRPr="00734914">
        <w:t xml:space="preserve"> at the</w:t>
      </w:r>
      <w:r w:rsidR="006F177A" w:rsidRPr="00734914">
        <w:t xml:space="preserve"> address specified in the </w:t>
      </w:r>
      <w:r w:rsidR="00891A55" w:rsidRPr="00734914">
        <w:t>c</w:t>
      </w:r>
      <w:r w:rsidR="006F177A" w:rsidRPr="00734914">
        <w:t>ontract notice (IV.2.7)</w:t>
      </w:r>
      <w:r w:rsidR="0068234B" w:rsidRPr="00734914">
        <w:t xml:space="preserve">. The committee will draw up minutes of the meeting, which </w:t>
      </w:r>
      <w:r w:rsidR="004305FD" w:rsidRPr="00734914">
        <w:t>must</w:t>
      </w:r>
      <w:r w:rsidR="0068234B" w:rsidRPr="00734914">
        <w:t xml:space="preserve"> be available to tenderers on request.</w:t>
      </w:r>
    </w:p>
    <w:p w14:paraId="41A2FB29" w14:textId="48BA06A4" w:rsidR="008C5BCA" w:rsidRPr="00734914" w:rsidRDefault="008C5BCA" w:rsidP="009E4665">
      <w:pPr>
        <w:spacing w:after="200"/>
        <w:ind w:left="709"/>
        <w:rPr>
          <w:snapToGrid/>
          <w:szCs w:val="22"/>
        </w:rPr>
      </w:pPr>
      <w:r w:rsidRPr="00734914">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402EB">
      <w:pPr>
        <w:pStyle w:val="Heading2"/>
        <w:numPr>
          <w:ilvl w:val="0"/>
          <w:numId w:val="0"/>
        </w:numPr>
        <w:ind w:left="576"/>
      </w:pPr>
      <w:bookmarkStart w:id="31" w:name="_Toc529523978"/>
      <w:r>
        <w:t>22.</w:t>
      </w:r>
      <w:r>
        <w:tab/>
      </w:r>
      <w:r w:rsidR="0068234B" w:rsidRPr="000F1C89">
        <w:t>EVALUATIN</w:t>
      </w:r>
      <w:r w:rsidR="00B93A84" w:rsidRPr="000F1C89">
        <w:t>G</w:t>
      </w:r>
      <w:r w:rsidR="0068234B" w:rsidRPr="000F1C89">
        <w:t xml:space="preserve"> TENDERS</w:t>
      </w:r>
      <w:bookmarkEnd w:id="31"/>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Heading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t xml:space="preserve">The aim at this stage is to check that tenders comply with the requirements of the tender dossier. A tender is deemed to comply if it satisfies all the conditions, procedures and specifications in the tender dossier without substantially departing from or attaching restrictions </w:t>
      </w:r>
      <w:proofErr w:type="gramStart"/>
      <w:r w:rsidRPr="000F1C89">
        <w:t>to</w:t>
      </w:r>
      <w:proofErr w:type="gramEnd"/>
      <w:r w:rsidRPr="000F1C89">
        <w:t xml:space="preserve">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 xml:space="preserve">s obligations under the contract or distort competition for tenderers </w:t>
      </w:r>
      <w:r w:rsidRPr="000F1C89">
        <w:lastRenderedPageBreak/>
        <w:t>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9C1E79">
      <w:pPr>
        <w:numPr>
          <w:ilvl w:val="0"/>
          <w:numId w:val="10"/>
        </w:numPr>
        <w:spacing w:after="0"/>
        <w:ind w:left="1559" w:hanging="357"/>
      </w:pPr>
      <w:r w:rsidRPr="000F1C89">
        <w:t>has been properly signed;</w:t>
      </w:r>
    </w:p>
    <w:p w14:paraId="33C818FC" w14:textId="77777777" w:rsidR="0068234B" w:rsidRPr="000F1C89" w:rsidRDefault="0068234B" w:rsidP="009C1E79">
      <w:pPr>
        <w:numPr>
          <w:ilvl w:val="0"/>
          <w:numId w:val="10"/>
        </w:numPr>
        <w:spacing w:after="0"/>
        <w:ind w:left="1559" w:hanging="357"/>
      </w:pPr>
      <w:r w:rsidRPr="000F1C89">
        <w:t>includes a correct tender guarantee (if required);</w:t>
      </w:r>
    </w:p>
    <w:p w14:paraId="1E7355B0" w14:textId="77777777" w:rsidR="0068234B" w:rsidRPr="000F1C89" w:rsidRDefault="003721D9" w:rsidP="009C1E79">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rsidP="009C1E79">
      <w:pPr>
        <w:numPr>
          <w:ilvl w:val="0"/>
          <w:numId w:val="10"/>
        </w:numPr>
        <w:spacing w:after="0"/>
        <w:ind w:left="1559" w:hanging="357"/>
      </w:pPr>
      <w:r w:rsidRPr="000F1C89">
        <w:t>has complete documentation and information;</w:t>
      </w:r>
    </w:p>
    <w:p w14:paraId="4163562B" w14:textId="77777777" w:rsidR="0068234B" w:rsidRPr="000F1C89" w:rsidRDefault="0068234B" w:rsidP="009C1E79">
      <w:pPr>
        <w:numPr>
          <w:ilvl w:val="0"/>
          <w:numId w:val="10"/>
        </w:numPr>
        <w:ind w:left="1560"/>
      </w:pPr>
      <w:proofErr w:type="gramStart"/>
      <w:r w:rsidRPr="000F1C89">
        <w:t>substantially</w:t>
      </w:r>
      <w:proofErr w:type="gramEnd"/>
      <w:r w:rsidRPr="000F1C89">
        <w:t xml:space="preserve">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Heading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5711FFEB"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39A0316A" w14:textId="77777777" w:rsidR="00CE2517" w:rsidRDefault="00CE2517" w:rsidP="00CE2517">
      <w:r>
        <w:t>Financial evaluation of tenders for Lot 1 will take into account the whole life cost (equal to the Capital Cost + 14 guaranteed annual Operating costs</w:t>
      </w:r>
      <w:r>
        <w:rPr>
          <w:rStyle w:val="FootnoteReference"/>
        </w:rPr>
        <w:footnoteReference w:id="5"/>
      </w:r>
      <w:r>
        <w:t>) as follows:</w:t>
      </w:r>
    </w:p>
    <w:p w14:paraId="519491DA" w14:textId="77777777" w:rsidR="00CE2517" w:rsidRDefault="00CE2517" w:rsidP="00CE2517"/>
    <w:p w14:paraId="4BAC2E5D" w14:textId="77777777" w:rsidR="00CE2517" w:rsidRDefault="00CE2517" w:rsidP="00CE2517">
      <w:r>
        <w:t>TEP = CAPEX + OPEX</w:t>
      </w:r>
    </w:p>
    <w:p w14:paraId="277B7B48" w14:textId="77777777" w:rsidR="00CE2517" w:rsidRDefault="00CE2517" w:rsidP="00CE2517"/>
    <w:p w14:paraId="4735364C" w14:textId="77777777" w:rsidR="00CE2517" w:rsidRDefault="00CE2517" w:rsidP="00CE2517">
      <w:r>
        <w:t>Where:</w:t>
      </w:r>
    </w:p>
    <w:p w14:paraId="5F70E3D7" w14:textId="77777777" w:rsidR="00CE2517" w:rsidRDefault="00CE2517" w:rsidP="00CE2517">
      <w:r>
        <w:t>TEP = Tender Evaluation Price (Volume 4</w:t>
      </w:r>
      <w:proofErr w:type="gramStart"/>
      <w:r>
        <w:t>.–</w:t>
      </w:r>
      <w:proofErr w:type="gramEnd"/>
      <w:r>
        <w:t xml:space="preserve"> Schedule 3.4) </w:t>
      </w:r>
    </w:p>
    <w:p w14:paraId="08E18DF8" w14:textId="77777777" w:rsidR="00CE2517" w:rsidRDefault="00CE2517" w:rsidP="00CE2517">
      <w:r>
        <w:t xml:space="preserve">CAPEX = Total Price (Volume 4 Schedule 2.1) </w:t>
      </w:r>
    </w:p>
    <w:p w14:paraId="501014EC" w14:textId="77777777" w:rsidR="00CE2517" w:rsidRDefault="00CE2517" w:rsidP="00CE2517">
      <w:r>
        <w:t>OPEX = annual costs for electricity, chemical and sludge disposal (Volume 4 – Schedule 3.2.8)</w:t>
      </w:r>
    </w:p>
    <w:p w14:paraId="29974D42" w14:textId="77777777" w:rsidR="00552491" w:rsidRPr="00F3218B" w:rsidRDefault="00552491" w:rsidP="00D2731E">
      <w:pPr>
        <w:rPr>
          <w:lang w:val="en-US"/>
        </w:rPr>
      </w:pPr>
    </w:p>
    <w:p w14:paraId="5FE0A5B4" w14:textId="1CC395F6" w:rsidR="009E41DA" w:rsidRPr="00D2731E" w:rsidRDefault="009E41DA" w:rsidP="00D2731E">
      <w:pPr>
        <w:pStyle w:val="Heading3"/>
        <w:numPr>
          <w:ilvl w:val="0"/>
          <w:numId w:val="0"/>
        </w:numPr>
        <w:ind w:left="862" w:hanging="720"/>
        <w:rPr>
          <w:color w:val="000000" w:themeColor="text1"/>
        </w:rPr>
      </w:pPr>
      <w:r w:rsidRPr="00D2731E">
        <w:rPr>
          <w:color w:val="000000" w:themeColor="text1"/>
        </w:rPr>
        <w:t xml:space="preserve">22.4  </w:t>
      </w:r>
      <w:r w:rsidR="00CB381A">
        <w:rPr>
          <w:color w:val="000000" w:themeColor="text1"/>
        </w:rPr>
        <w:t xml:space="preserve"> </w:t>
      </w:r>
      <w:r w:rsidRPr="00D2731E">
        <w:rPr>
          <w:color w:val="000000" w:themeColor="text1"/>
        </w:rPr>
        <w:t>Documentary evidence for exclusion and selection criteria</w:t>
      </w:r>
    </w:p>
    <w:p w14:paraId="42A943C6" w14:textId="77777777" w:rsidR="009B0379" w:rsidRPr="00492E05" w:rsidRDefault="009B0379" w:rsidP="00D2731E">
      <w:pPr>
        <w:ind w:left="0"/>
      </w:pPr>
    </w:p>
    <w:p w14:paraId="21645AD3" w14:textId="75A72B21" w:rsidR="00C96E28" w:rsidRPr="006261E4" w:rsidRDefault="00DD474A" w:rsidP="00E85A3F">
      <w:pPr>
        <w:rPr>
          <w:color w:val="000000"/>
          <w:szCs w:val="22"/>
          <w:lang w:val="en-IE"/>
        </w:rPr>
      </w:pPr>
      <w:r w:rsidRPr="006261E4">
        <w:rPr>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6261E4">
        <w:rPr>
          <w:b/>
          <w:lang w:val="en-IE"/>
        </w:rPr>
        <w:t xml:space="preserve">All tenderers are invited to prepare in </w:t>
      </w:r>
      <w:r w:rsidRPr="006261E4">
        <w:rPr>
          <w:b/>
          <w:lang w:val="en-IE"/>
        </w:rPr>
        <w:lastRenderedPageBreak/>
        <w:t>advance the documents related to the evidence, since they may be requested to provide such evidence within a short deadline</w:t>
      </w:r>
      <w:r w:rsidRPr="006261E4">
        <w:rPr>
          <w:lang w:val="en-IE"/>
        </w:rPr>
        <w:t xml:space="preserve">. </w:t>
      </w:r>
      <w:r w:rsidR="00C96E28" w:rsidRPr="006261E4">
        <w:rPr>
          <w:szCs w:val="22"/>
          <w:lang w:val="en-IE"/>
        </w:rPr>
        <w:t xml:space="preserve">In any event, the tenderer proposed by the evaluation committee for the award of the contract, will be requested to provide such evidence at short notice. </w:t>
      </w:r>
    </w:p>
    <w:p w14:paraId="538D2C8D" w14:textId="66323516" w:rsidR="00AD674D" w:rsidRPr="006261E4" w:rsidRDefault="00AD674D">
      <w:r w:rsidRPr="006261E4">
        <w:rPr>
          <w:lang w:val="en-IE"/>
        </w:rPr>
        <w:t xml:space="preserve">When requested, regarding the exclusion criteria, the tenderers should be able to provide the </w:t>
      </w:r>
      <w:r w:rsidR="009E41DA" w:rsidRPr="006261E4">
        <w:rPr>
          <w:b/>
          <w:bCs/>
        </w:rPr>
        <w:t>documentary proof</w:t>
      </w:r>
      <w:r w:rsidR="009E41DA" w:rsidRPr="006261E4">
        <w:t xml:space="preserve"> or statements required under the law of the country in which the company (or, for consortia, each of the companies) is established, to show that it does not fall into any of the exclusion situations listed in Section 2.6.10.1. </w:t>
      </w:r>
      <w:proofErr w:type="gramStart"/>
      <w:r w:rsidR="009E41DA" w:rsidRPr="006261E4">
        <w:t>of</w:t>
      </w:r>
      <w:proofErr w:type="gramEnd"/>
      <w:r w:rsidR="009E41DA" w:rsidRPr="006261E4">
        <w:t xml:space="preserve"> the practical guide. </w:t>
      </w:r>
    </w:p>
    <w:p w14:paraId="61C90E45" w14:textId="4168F99D" w:rsidR="00AD674D" w:rsidRPr="006261E4" w:rsidRDefault="00AD674D">
      <w:pPr>
        <w:outlineLvl w:val="0"/>
        <w:rPr>
          <w:lang w:val="en-IE"/>
        </w:rPr>
      </w:pPr>
      <w:r w:rsidRPr="006261E4">
        <w:rPr>
          <w:lang w:val="en-IE"/>
        </w:rPr>
        <w:t xml:space="preserve">This evidence, documents or statements must be dated, no more than one year before the date of submission of the tender. </w:t>
      </w:r>
    </w:p>
    <w:p w14:paraId="7A1FDC22" w14:textId="2F2B7226" w:rsidR="009F2AC3" w:rsidRPr="006261E4" w:rsidRDefault="009F2AC3">
      <w:r w:rsidRPr="006261E4">
        <w:t>The above-mentioned documents must be submitted for every member of a joint venture/consortium, all subcontractors and every capacity providing entit</w:t>
      </w:r>
      <w:r w:rsidR="0084548D" w:rsidRPr="006261E4">
        <w:t>y</w:t>
      </w:r>
      <w:r w:rsidRPr="006261E4">
        <w:t xml:space="preserve">. </w:t>
      </w:r>
    </w:p>
    <w:p w14:paraId="79354B66" w14:textId="77777777" w:rsidR="00AD674D" w:rsidRPr="006261E4" w:rsidRDefault="00AD674D">
      <w:pPr>
        <w:outlineLvl w:val="0"/>
        <w:rPr>
          <w:lang w:val="en-IE"/>
        </w:rPr>
      </w:pPr>
      <w:r w:rsidRPr="006261E4">
        <w:rPr>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C9A7C32" w14:textId="77777777" w:rsidR="00AD674D" w:rsidRPr="006261E4" w:rsidRDefault="00AD674D">
      <w:pPr>
        <w:outlineLvl w:val="0"/>
        <w:rPr>
          <w:lang w:val="en-IE"/>
        </w:rPr>
      </w:pPr>
      <w:r w:rsidRPr="006261E4">
        <w:rPr>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9B529F" w14:textId="42AA6919" w:rsidR="00AD674D" w:rsidRPr="006261E4" w:rsidRDefault="00AD674D">
      <w:pPr>
        <w:outlineLvl w:val="0"/>
        <w:rPr>
          <w:lang w:val="en-IE"/>
        </w:rPr>
      </w:pPr>
      <w:r w:rsidRPr="006261E4">
        <w:rPr>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17EE82E6" w14:textId="77777777" w:rsidR="0068234B" w:rsidRPr="000F1C89" w:rsidRDefault="00510D6D" w:rsidP="00D402EB">
      <w:pPr>
        <w:pStyle w:val="Heading2"/>
        <w:numPr>
          <w:ilvl w:val="0"/>
          <w:numId w:val="0"/>
        </w:numPr>
        <w:ind w:left="576"/>
      </w:pPr>
      <w:bookmarkStart w:id="32" w:name="_Toc529523979"/>
      <w:r w:rsidRPr="00C96E28">
        <w:t>2</w:t>
      </w:r>
      <w:r>
        <w:t>3</w:t>
      </w:r>
      <w:r>
        <w:tab/>
      </w:r>
      <w:r w:rsidR="0068234B" w:rsidRPr="000F1C89">
        <w:t>CORRECTIN</w:t>
      </w:r>
      <w:r w:rsidR="00B93A84" w:rsidRPr="000F1C89">
        <w:t>G</w:t>
      </w:r>
      <w:r w:rsidR="0068234B" w:rsidRPr="000F1C89">
        <w:t xml:space="preserve"> ERRORS</w:t>
      </w:r>
      <w:bookmarkEnd w:id="32"/>
    </w:p>
    <w:p w14:paraId="34205ED0"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9C1E79">
      <w:pPr>
        <w:numPr>
          <w:ilvl w:val="0"/>
          <w:numId w:val="11"/>
        </w:numPr>
        <w:spacing w:after="0"/>
        <w:ind w:left="1559" w:hanging="357"/>
      </w:pPr>
      <w:r w:rsidRPr="000F1C89">
        <w:t>where there is a discrepancy between amounts in figures and in words, the amount in words will prevail;</w:t>
      </w:r>
    </w:p>
    <w:p w14:paraId="75FE733A" w14:textId="77777777" w:rsidR="0068234B" w:rsidRPr="000F1C89" w:rsidRDefault="0068234B" w:rsidP="009C1E79">
      <w:pPr>
        <w:numPr>
          <w:ilvl w:val="0"/>
          <w:numId w:val="11"/>
        </w:numPr>
        <w:spacing w:after="0"/>
        <w:ind w:left="1559" w:hanging="357"/>
      </w:pPr>
      <w:proofErr w:type="gramStart"/>
      <w:r w:rsidRPr="000F1C89">
        <w:t>except</w:t>
      </w:r>
      <w:proofErr w:type="gramEnd"/>
      <w:r w:rsidRPr="000F1C89">
        <w:t xml:space="preserve">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2731E">
      <w:pPr>
        <w:pStyle w:val="Heading1"/>
        <w:numPr>
          <w:ilvl w:val="0"/>
          <w:numId w:val="0"/>
        </w:numPr>
        <w:ind w:left="432"/>
      </w:pPr>
      <w:bookmarkStart w:id="33" w:name="_Toc529523980"/>
      <w:r w:rsidRPr="000F1C89">
        <w:t>CONTRACT AWARD</w:t>
      </w:r>
      <w:bookmarkEnd w:id="33"/>
    </w:p>
    <w:p w14:paraId="23D68C0D" w14:textId="77777777" w:rsidR="0068234B" w:rsidRDefault="00510D6D" w:rsidP="00D402EB">
      <w:pPr>
        <w:pStyle w:val="Heading2"/>
        <w:numPr>
          <w:ilvl w:val="0"/>
          <w:numId w:val="0"/>
        </w:numPr>
        <w:ind w:left="576"/>
      </w:pPr>
      <w:bookmarkStart w:id="34" w:name="_Toc529523981"/>
      <w:r>
        <w:t>24.</w:t>
      </w:r>
      <w:r>
        <w:tab/>
      </w:r>
      <w:r w:rsidR="0068234B" w:rsidRPr="000F1C89">
        <w:t>AWARD CRITERIA</w:t>
      </w:r>
      <w:bookmarkEnd w:id="34"/>
    </w:p>
    <w:p w14:paraId="4A8B3071" w14:textId="77777777" w:rsidR="006261E4" w:rsidRDefault="006261E4" w:rsidP="006261E4"/>
    <w:p w14:paraId="109CF70B" w14:textId="77777777" w:rsidR="006261E4" w:rsidRPr="00760AA2" w:rsidRDefault="006261E4" w:rsidP="006261E4">
      <w:pPr>
        <w:ind w:left="720" w:firstLine="720"/>
      </w:pPr>
      <w:r w:rsidRPr="00ED6178">
        <w:t>Lot 1: The most economically advantageous tender is the technically compliant tender with the lowest tender evaluation price.</w:t>
      </w:r>
    </w:p>
    <w:p w14:paraId="70BE2B2C" w14:textId="77777777" w:rsidR="006261E4" w:rsidRPr="00760AA2" w:rsidRDefault="006261E4" w:rsidP="006261E4">
      <w:pPr>
        <w:ind w:left="720" w:firstLine="720"/>
      </w:pPr>
      <w:r w:rsidRPr="00760AA2">
        <w:t>Lot 2: The most economically advantageous tender is the technically compliant tender with the lowest price.</w:t>
      </w:r>
    </w:p>
    <w:p w14:paraId="3673B96A" w14:textId="77777777" w:rsidR="006261E4" w:rsidRPr="006261E4" w:rsidRDefault="006261E4" w:rsidP="006261E4"/>
    <w:p w14:paraId="6B6D20C5" w14:textId="77777777" w:rsidR="00A425B4" w:rsidRPr="000F1C89" w:rsidRDefault="00510D6D" w:rsidP="00D402EB">
      <w:pPr>
        <w:pStyle w:val="Heading2"/>
        <w:numPr>
          <w:ilvl w:val="0"/>
          <w:numId w:val="0"/>
        </w:numPr>
        <w:ind w:left="576"/>
      </w:pPr>
      <w:bookmarkStart w:id="35" w:name="_Toc529523982"/>
      <w:r>
        <w:lastRenderedPageBreak/>
        <w:t>25.</w:t>
      </w:r>
      <w:r w:rsidR="0048094E">
        <w:tab/>
      </w:r>
      <w:r w:rsidR="00A425B4" w:rsidRPr="000F1C89">
        <w:t>N</w:t>
      </w:r>
      <w:r w:rsidR="00ED3948">
        <w:t>OTIFICATION OF AWARD, CONTRACT CLARIFICATIONS</w:t>
      </w:r>
      <w:bookmarkEnd w:id="35"/>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5C7A4877" w14:textId="071DF428"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232C4753" w14:textId="77777777" w:rsidR="00934749" w:rsidRPr="000F1C89" w:rsidRDefault="00934749" w:rsidP="00F62F2E">
      <w:pPr>
        <w:rPr>
          <w:szCs w:val="22"/>
        </w:rPr>
      </w:pPr>
    </w:p>
    <w:p w14:paraId="5A3AE17C" w14:textId="77777777" w:rsidR="0068234B" w:rsidRPr="000F1C89" w:rsidRDefault="00510D6D" w:rsidP="00D402EB">
      <w:pPr>
        <w:pStyle w:val="Heading2"/>
        <w:numPr>
          <w:ilvl w:val="0"/>
          <w:numId w:val="0"/>
        </w:numPr>
        <w:ind w:left="576"/>
      </w:pPr>
      <w:bookmarkStart w:id="36" w:name="_Toc529523983"/>
      <w:r>
        <w:t>26.</w:t>
      </w:r>
      <w:r>
        <w:tab/>
      </w:r>
      <w:r w:rsidR="0068234B" w:rsidRPr="000F1C89">
        <w:t>CONTRACT SIGNING AND PERFORMANCE GUARANTEE</w:t>
      </w:r>
      <w:bookmarkEnd w:id="36"/>
    </w:p>
    <w:p w14:paraId="1FE92D3D"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2BF145F4"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261E4">
        <w:t xml:space="preserve">onditions is </w:t>
      </w:r>
      <w:r w:rsidR="006261E4" w:rsidRPr="006261E4">
        <w:t xml:space="preserve">set at </w:t>
      </w:r>
      <w:r w:rsidR="008372AA" w:rsidRPr="006261E4">
        <w:t>10%</w:t>
      </w:r>
      <w:r w:rsidR="0068234B" w:rsidRPr="006261E4">
        <w:t xml:space="preserve"> of</w:t>
      </w:r>
      <w:r w:rsidR="0068234B" w:rsidRPr="000F1C89">
        <w:t xml:space="preserve">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2B889CD1" w14:textId="77777777" w:rsidR="0068234B" w:rsidRPr="000F1C89" w:rsidRDefault="00510D6D" w:rsidP="00D402EB">
      <w:pPr>
        <w:pStyle w:val="Heading2"/>
        <w:numPr>
          <w:ilvl w:val="0"/>
          <w:numId w:val="0"/>
        </w:numPr>
        <w:ind w:left="576"/>
      </w:pPr>
      <w:bookmarkStart w:id="37" w:name="_Toc529523984"/>
      <w:r>
        <w:t xml:space="preserve">27. </w:t>
      </w:r>
      <w:r>
        <w:tab/>
      </w:r>
      <w:r w:rsidR="0068234B" w:rsidRPr="000F1C89">
        <w:t>CANCELLATION OF THE TENDER PROCEDURE</w:t>
      </w:r>
      <w:bookmarkEnd w:id="37"/>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9C1E79">
      <w:pPr>
        <w:numPr>
          <w:ilvl w:val="0"/>
          <w:numId w:val="12"/>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rsidP="009C1E79">
      <w:pPr>
        <w:numPr>
          <w:ilvl w:val="0"/>
          <w:numId w:val="12"/>
        </w:numPr>
        <w:spacing w:after="40"/>
        <w:ind w:left="1134" w:hanging="357"/>
      </w:pPr>
      <w:r w:rsidRPr="000F1C89">
        <w:t>the economic or technical parameters of the project have been fundamentally altered;</w:t>
      </w:r>
    </w:p>
    <w:p w14:paraId="234970E3" w14:textId="77777777" w:rsidR="0068234B" w:rsidRPr="000F1C89" w:rsidRDefault="0068234B" w:rsidP="009C1E79">
      <w:pPr>
        <w:numPr>
          <w:ilvl w:val="0"/>
          <w:numId w:val="12"/>
        </w:numPr>
        <w:spacing w:after="40"/>
        <w:ind w:left="1134" w:hanging="357"/>
      </w:pPr>
      <w:r w:rsidRPr="000F1C89">
        <w:t>exceptional circumstances or force majeure render normal execution of the project impossible;</w:t>
      </w:r>
    </w:p>
    <w:p w14:paraId="537C865C" w14:textId="77777777" w:rsidR="0068234B" w:rsidRPr="000F1C89" w:rsidRDefault="0068234B" w:rsidP="009C1E79">
      <w:pPr>
        <w:numPr>
          <w:ilvl w:val="0"/>
          <w:numId w:val="12"/>
        </w:numPr>
        <w:spacing w:after="40"/>
        <w:ind w:left="1134" w:hanging="357"/>
      </w:pPr>
      <w:r w:rsidRPr="000F1C89">
        <w:t>all technically compliant tenders exceed the financial resources available;</w:t>
      </w:r>
    </w:p>
    <w:p w14:paraId="6B3B65B7" w14:textId="77777777" w:rsidR="0068234B" w:rsidRPr="000F1C89" w:rsidRDefault="0068234B" w:rsidP="009C1E79">
      <w:pPr>
        <w:numPr>
          <w:ilvl w:val="0"/>
          <w:numId w:val="12"/>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rsidP="009C1E79">
      <w:pPr>
        <w:numPr>
          <w:ilvl w:val="0"/>
          <w:numId w:val="12"/>
        </w:numPr>
        <w:spacing w:after="40"/>
        <w:ind w:left="1134" w:hanging="357"/>
      </w:pPr>
      <w:r w:rsidRPr="000F1C89">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402EB">
      <w:pPr>
        <w:pStyle w:val="Heading2"/>
        <w:numPr>
          <w:ilvl w:val="0"/>
          <w:numId w:val="0"/>
        </w:numPr>
        <w:ind w:left="576"/>
      </w:pPr>
      <w:bookmarkStart w:id="38" w:name="_Toc529523985"/>
      <w:r>
        <w:t>28.</w:t>
      </w:r>
      <w:r>
        <w:tab/>
      </w:r>
      <w:r w:rsidR="0068234B" w:rsidRPr="000F1C89">
        <w:t>ETHICS CLAUSES</w:t>
      </w:r>
      <w:r w:rsidR="00023652">
        <w:t xml:space="preserve"> AND CODE OF CONDUCT</w:t>
      </w:r>
      <w:bookmarkEnd w:id="38"/>
    </w:p>
    <w:p w14:paraId="1B1FB107" w14:textId="77777777" w:rsidR="00023652" w:rsidRDefault="00510D6D" w:rsidP="00D2731E">
      <w:pPr>
        <w:pStyle w:val="Heading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proofErr w:type="gramStart"/>
      <w:r w:rsidR="00ED78C5">
        <w:rPr>
          <w:b/>
          <w:szCs w:val="22"/>
        </w:rPr>
        <w:t>,</w:t>
      </w:r>
      <w:r w:rsidRPr="00417585">
        <w:rPr>
          <w:b/>
          <w:szCs w:val="22"/>
        </w:rPr>
        <w:t xml:space="preserve">  abuse</w:t>
      </w:r>
      <w:proofErr w:type="gramEnd"/>
      <w:r w:rsidR="00ED78C5">
        <w:rPr>
          <w:b/>
          <w:szCs w:val="22"/>
        </w:rPr>
        <w:t xml:space="preserve"> and harassment</w:t>
      </w:r>
      <w:r w:rsidRPr="00417585">
        <w:rPr>
          <w:b/>
          <w:szCs w:val="22"/>
        </w:rPr>
        <w:t>:</w:t>
      </w:r>
    </w:p>
    <w:p w14:paraId="25EA851A"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18A5DE20" w14:textId="77777777"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36733DD3"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77777777" w:rsidR="0068234B" w:rsidRPr="000F1C89" w:rsidRDefault="00510D6D" w:rsidP="00D402EB">
      <w:pPr>
        <w:pStyle w:val="Heading2"/>
        <w:numPr>
          <w:ilvl w:val="0"/>
          <w:numId w:val="0"/>
        </w:numPr>
        <w:ind w:left="576"/>
      </w:pPr>
      <w:bookmarkStart w:id="39" w:name="_Toc529523986"/>
      <w:r>
        <w:t>29.</w:t>
      </w:r>
      <w:r>
        <w:tab/>
      </w:r>
      <w:r w:rsidR="0068234B" w:rsidRPr="000F1C89">
        <w:t>APPEALS</w:t>
      </w:r>
      <w:bookmarkEnd w:id="39"/>
    </w:p>
    <w:p w14:paraId="10132DE8"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w:t>
      </w:r>
      <w:proofErr w:type="gramStart"/>
      <w:r w:rsidRPr="000F1C89">
        <w:t>of</w:t>
      </w:r>
      <w:proofErr w:type="gramEnd"/>
      <w:r w:rsidRPr="000F1C89">
        <w:t xml:space="preserve"> the </w:t>
      </w:r>
      <w:r w:rsidR="005E6EAE">
        <w:t>p</w:t>
      </w:r>
      <w:r w:rsidRPr="000F1C89">
        <w:t xml:space="preserve">ractical </w:t>
      </w:r>
      <w:r w:rsidR="005E6EAE">
        <w:t>g</w:t>
      </w:r>
      <w:r w:rsidRPr="000F1C89">
        <w:t>uide.</w:t>
      </w:r>
    </w:p>
    <w:p w14:paraId="4AD4CB10" w14:textId="77777777" w:rsidR="00174043" w:rsidRDefault="00174043" w:rsidP="00285C17">
      <w:pPr>
        <w:rPr>
          <w:highlight w:val="yellow"/>
        </w:rPr>
      </w:pPr>
    </w:p>
    <w:p w14:paraId="607EFDFA" w14:textId="77777777" w:rsidR="000F3C1A" w:rsidRPr="009E4665" w:rsidRDefault="000F3C1A" w:rsidP="00D402EB">
      <w:pPr>
        <w:pStyle w:val="Heading2"/>
        <w:numPr>
          <w:ilvl w:val="0"/>
          <w:numId w:val="0"/>
        </w:numPr>
        <w:ind w:left="576"/>
        <w:rPr>
          <w:bCs/>
        </w:rPr>
      </w:pPr>
      <w:r w:rsidRPr="009E4665">
        <w:rPr>
          <w:bCs/>
        </w:rPr>
        <w:t xml:space="preserve">30. </w:t>
      </w:r>
      <w:r w:rsidR="0063235B">
        <w:rPr>
          <w:bCs/>
        </w:rPr>
        <w:tab/>
      </w:r>
      <w:r w:rsidRPr="009E4665">
        <w:t>D</w:t>
      </w:r>
      <w:r w:rsidR="0063235B" w:rsidRPr="0063235B">
        <w:t>ATA</w:t>
      </w:r>
      <w:r w:rsidR="0063235B" w:rsidRPr="0063235B">
        <w:rPr>
          <w:bCs/>
        </w:rPr>
        <w:t xml:space="preserve"> </w:t>
      </w:r>
      <w:r w:rsidR="0063235B" w:rsidRPr="00B474CE">
        <w:t>PROTECTION</w:t>
      </w:r>
    </w:p>
    <w:p w14:paraId="1D73058E" w14:textId="5041C99F" w:rsidR="000F3C1A" w:rsidRPr="006261E4" w:rsidRDefault="000F3C1A" w:rsidP="00D2731E">
      <w:pPr>
        <w:spacing w:before="120"/>
        <w:ind w:left="0"/>
        <w:rPr>
          <w:szCs w:val="22"/>
        </w:rPr>
      </w:pPr>
      <w:r w:rsidRPr="006261E4">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8F1DA06" w14:textId="128CD40B" w:rsidR="000F3C1A" w:rsidRPr="006261E4" w:rsidRDefault="000F3C1A" w:rsidP="00D2731E">
      <w:pPr>
        <w:spacing w:before="120"/>
        <w:ind w:left="0"/>
        <w:rPr>
          <w:szCs w:val="22"/>
        </w:rPr>
      </w:pPr>
      <w:r w:rsidRPr="006261E4">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6261E4" w:rsidRPr="006261E4">
        <w:rPr>
          <w:szCs w:val="22"/>
        </w:rPr>
        <w:t xml:space="preserve"> </w:t>
      </w:r>
      <w:r w:rsidRPr="006261E4">
        <w:rPr>
          <w:szCs w:val="22"/>
        </w:rPr>
        <w:t>the head of contracts and finance unit R4 of DG Neighbourho</w:t>
      </w:r>
      <w:r w:rsidR="006261E4" w:rsidRPr="006261E4">
        <w:rPr>
          <w:szCs w:val="22"/>
        </w:rPr>
        <w:t>od and Enlargement Negotiations.</w:t>
      </w:r>
    </w:p>
    <w:p w14:paraId="753FA604" w14:textId="77777777" w:rsidR="000F3C1A" w:rsidRPr="006261E4" w:rsidRDefault="000F3C1A" w:rsidP="00D2731E">
      <w:pPr>
        <w:spacing w:before="120"/>
        <w:ind w:left="0"/>
        <w:rPr>
          <w:szCs w:val="22"/>
        </w:rPr>
      </w:pPr>
      <w:r w:rsidRPr="006261E4">
        <w:rPr>
          <w:szCs w:val="22"/>
        </w:rPr>
        <w:t>Details concerning processing of your personal data by the Commission are available on the privacy statement at:</w:t>
      </w:r>
    </w:p>
    <w:p w14:paraId="25D0EDA7" w14:textId="77777777" w:rsidR="000F3C1A" w:rsidRPr="006261E4" w:rsidRDefault="00F3218B" w:rsidP="00D2731E">
      <w:pPr>
        <w:ind w:left="0"/>
        <w:rPr>
          <w:szCs w:val="22"/>
        </w:rPr>
      </w:pPr>
      <w:hyperlink r:id="rId18" w:history="1">
        <w:r w:rsidR="000F3C1A" w:rsidRPr="006261E4">
          <w:rPr>
            <w:rStyle w:val="Hyperlink"/>
            <w:szCs w:val="22"/>
          </w:rPr>
          <w:t>http://ec.europa.eu/europeaid/prag/annexes.do?chapterTitleCode=A</w:t>
        </w:r>
      </w:hyperlink>
      <w:r w:rsidR="000F3C1A" w:rsidRPr="006261E4">
        <w:rPr>
          <w:color w:val="1F497D"/>
          <w:szCs w:val="22"/>
        </w:rPr>
        <w:t xml:space="preserve">  </w:t>
      </w:r>
    </w:p>
    <w:p w14:paraId="5B39EAF8" w14:textId="3FAF723A" w:rsidR="000F3C1A" w:rsidRPr="009E4665" w:rsidRDefault="000F3C1A" w:rsidP="00D2731E">
      <w:pPr>
        <w:ind w:left="0"/>
        <w:rPr>
          <w:szCs w:val="22"/>
          <w:lang w:eastAsia="en-GB"/>
        </w:rPr>
      </w:pPr>
      <w:r w:rsidRPr="006261E4">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57F81AFD" w14:textId="77777777" w:rsidR="0068234B" w:rsidRPr="009E4665" w:rsidRDefault="000F3C1A" w:rsidP="00D402EB">
      <w:pPr>
        <w:pStyle w:val="Heading2"/>
        <w:numPr>
          <w:ilvl w:val="0"/>
          <w:numId w:val="0"/>
        </w:numPr>
        <w:ind w:left="576"/>
      </w:pPr>
      <w:r w:rsidRPr="009E4665" w:rsidDel="000F3C1A">
        <w:lastRenderedPageBreak/>
        <w:t xml:space="preserve"> </w:t>
      </w:r>
      <w:r w:rsidR="00285C17" w:rsidRPr="009E4665">
        <w:t>31</w:t>
      </w:r>
      <w:r w:rsidR="0063235B">
        <w:t>.</w:t>
      </w:r>
      <w:r w:rsidR="00285C17"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14:paraId="64302F27" w14:textId="77777777"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2CC0A836" w14:textId="0AE0E250" w:rsidR="001000A4" w:rsidRPr="000F1C89" w:rsidRDefault="00285C17" w:rsidP="00691AC6">
      <w:pPr>
        <w:spacing w:before="600"/>
        <w:jc w:val="center"/>
      </w:pPr>
      <w:r w:rsidRPr="000F1C89">
        <w:t xml:space="preserve">* * </w:t>
      </w:r>
      <w:r w:rsidR="00691AC6">
        <w:t>*</w:t>
      </w:r>
    </w:p>
    <w:sectPr w:rsidR="001000A4" w:rsidRPr="000F1C89" w:rsidSect="00691AC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C4AEC" w14:textId="77777777" w:rsidR="00B01A11" w:rsidRPr="00E725FE" w:rsidRDefault="00B01A11">
      <w:r w:rsidRPr="00E725FE">
        <w:separator/>
      </w:r>
    </w:p>
  </w:endnote>
  <w:endnote w:type="continuationSeparator" w:id="0">
    <w:p w14:paraId="106E0A2E" w14:textId="77777777" w:rsidR="00B01A11" w:rsidRPr="00E725FE" w:rsidRDefault="00B01A1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ld English Text MT">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CA61B" w14:textId="77777777" w:rsidR="00F3218B" w:rsidRDefault="00F321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F3218B" w:rsidRDefault="00F321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DA97D" w14:textId="1E9B6DF6" w:rsidR="00F3218B" w:rsidRPr="00684DD9" w:rsidRDefault="00F3218B" w:rsidP="00617D2D">
    <w:pPr>
      <w:pStyle w:val="Footer"/>
      <w:tabs>
        <w:tab w:val="clear" w:pos="4320"/>
        <w:tab w:val="clear" w:pos="8640"/>
        <w:tab w:val="right" w:pos="9214"/>
      </w:tabs>
      <w:spacing w:after="0"/>
      <w:ind w:left="0" w:right="5"/>
      <w:rPr>
        <w:rStyle w:val="PageNumber"/>
        <w:sz w:val="18"/>
        <w:szCs w:val="18"/>
      </w:rPr>
    </w:pPr>
    <w:r>
      <w:rPr>
        <w:b/>
        <w:sz w:val="18"/>
      </w:rPr>
      <w:t>December 2021</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F75DA2">
      <w:rPr>
        <w:rStyle w:val="PageNumber"/>
        <w:noProof/>
        <w:sz w:val="18"/>
        <w:szCs w:val="18"/>
      </w:rPr>
      <w:t>21</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F75DA2">
      <w:rPr>
        <w:rStyle w:val="PageNumber"/>
        <w:noProof/>
        <w:sz w:val="18"/>
        <w:szCs w:val="18"/>
      </w:rPr>
      <w:t>23</w:t>
    </w:r>
    <w:r w:rsidRPr="00684DD9">
      <w:rPr>
        <w:rStyle w:val="PageNumber"/>
        <w:sz w:val="18"/>
        <w:szCs w:val="18"/>
      </w:rPr>
      <w:fldChar w:fldCharType="end"/>
    </w:r>
  </w:p>
  <w:p w14:paraId="4A3BFEBF" w14:textId="77777777" w:rsidR="00F3218B" w:rsidRDefault="00F3218B"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p w14:paraId="18742069" w14:textId="77777777" w:rsidR="00F3218B" w:rsidRPr="00684DD9" w:rsidRDefault="00F3218B" w:rsidP="00776DFA">
    <w:pPr>
      <w:spacing w:after="0"/>
      <w:ind w:left="0"/>
      <w:rPr>
        <w:sz w:val="18"/>
        <w:szCs w:val="18"/>
      </w:rPr>
    </w:pPr>
    <w:r>
      <w:rPr>
        <w:sz w:val="18"/>
        <w:szCs w:val="18"/>
      </w:rPr>
      <w:t>NEAR/BEG/2021/EA-OP/0122</w:t>
    </w:r>
  </w:p>
  <w:p w14:paraId="5DF4EEA5" w14:textId="77777777" w:rsidR="00F3218B" w:rsidRPr="00684DD9" w:rsidRDefault="00F3218B" w:rsidP="00617D2D">
    <w:pPr>
      <w:spacing w:after="0"/>
      <w:ind w:left="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0B6F5" w14:textId="55129ECF" w:rsidR="00F3218B" w:rsidRPr="00684DD9" w:rsidRDefault="00F3218B" w:rsidP="00D2731E">
    <w:pPr>
      <w:pStyle w:val="Footer"/>
      <w:tabs>
        <w:tab w:val="clear" w:pos="4320"/>
        <w:tab w:val="clear" w:pos="8640"/>
        <w:tab w:val="right" w:pos="9214"/>
      </w:tabs>
      <w:spacing w:after="0"/>
      <w:ind w:left="0" w:right="5"/>
      <w:rPr>
        <w:rStyle w:val="PageNumber"/>
        <w:sz w:val="18"/>
        <w:szCs w:val="18"/>
      </w:rPr>
    </w:pPr>
    <w:proofErr w:type="gramStart"/>
    <w:r>
      <w:rPr>
        <w:b/>
        <w:sz w:val="18"/>
      </w:rPr>
      <w:t>December  2021</w:t>
    </w:r>
    <w:proofErr w:type="gramEnd"/>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F75DA2">
      <w:rPr>
        <w:rStyle w:val="PageNumber"/>
        <w:noProof/>
        <w:sz w:val="18"/>
        <w:szCs w:val="18"/>
      </w:rPr>
      <w:t>1</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F75DA2">
      <w:rPr>
        <w:rStyle w:val="PageNumber"/>
        <w:noProof/>
        <w:sz w:val="18"/>
        <w:szCs w:val="18"/>
      </w:rPr>
      <w:t>23</w:t>
    </w:r>
    <w:r w:rsidRPr="00684DD9">
      <w:rPr>
        <w:rStyle w:val="PageNumber"/>
        <w:sz w:val="18"/>
        <w:szCs w:val="18"/>
      </w:rPr>
      <w:fldChar w:fldCharType="end"/>
    </w:r>
  </w:p>
  <w:p w14:paraId="6067BA88" w14:textId="77777777" w:rsidR="00F3218B" w:rsidRDefault="00F3218B" w:rsidP="00776DFA">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p w14:paraId="60BF42F1" w14:textId="03C2A196" w:rsidR="00F3218B" w:rsidRPr="00684DD9" w:rsidRDefault="00F3218B" w:rsidP="00776DFA">
    <w:pPr>
      <w:spacing w:after="0"/>
      <w:ind w:left="0"/>
      <w:rPr>
        <w:sz w:val="18"/>
        <w:szCs w:val="18"/>
      </w:rPr>
    </w:pPr>
    <w:r>
      <w:rPr>
        <w:sz w:val="18"/>
        <w:szCs w:val="18"/>
      </w:rPr>
      <w:t>NEAR/BEG/2021/EA-OP/0122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7E980" w14:textId="77777777" w:rsidR="00B01A11" w:rsidRPr="00E725FE" w:rsidRDefault="00B01A11" w:rsidP="005C5770">
      <w:pPr>
        <w:spacing w:after="40"/>
        <w:ind w:left="0"/>
      </w:pPr>
      <w:r w:rsidRPr="00E725FE">
        <w:separator/>
      </w:r>
    </w:p>
  </w:footnote>
  <w:footnote w:type="continuationSeparator" w:id="0">
    <w:p w14:paraId="1AA3A5BD" w14:textId="77777777" w:rsidR="00B01A11" w:rsidRPr="00E725FE" w:rsidRDefault="00B01A11">
      <w:r w:rsidRPr="00E725FE">
        <w:continuationSeparator/>
      </w:r>
    </w:p>
  </w:footnote>
  <w:footnote w:id="1">
    <w:p w14:paraId="1C82B2AA" w14:textId="77777777" w:rsidR="00F3218B" w:rsidRPr="00B850C4" w:rsidRDefault="00F3218B" w:rsidP="00ED6AC2">
      <w:pPr>
        <w:pStyle w:val="FootnoteText"/>
      </w:pPr>
      <w:r>
        <w:rPr>
          <w:rStyle w:val="FootnoteReference"/>
        </w:rPr>
        <w:footnoteRef/>
      </w:r>
      <w:r>
        <w:t xml:space="preserve"> The minutes should comply with the requirements on Data Protection, section 30 of this annex.</w:t>
      </w:r>
    </w:p>
  </w:footnote>
  <w:footnote w:id="2">
    <w:p w14:paraId="1D56329B" w14:textId="77777777" w:rsidR="00F3218B" w:rsidRPr="00FA17F7" w:rsidRDefault="00F3218B">
      <w:pPr>
        <w:pStyle w:val="FootnoteText"/>
      </w:pPr>
      <w:r>
        <w:rPr>
          <w:rStyle w:val="FootnoteReference"/>
        </w:rPr>
        <w:footnoteRef/>
      </w:r>
      <w:r>
        <w:t xml:space="preserve"> See PRAG 2.6.10.1.3 A)</w:t>
      </w:r>
    </w:p>
  </w:footnote>
  <w:footnote w:id="3">
    <w:p w14:paraId="0EE03875" w14:textId="77777777" w:rsidR="00F3218B" w:rsidRPr="00E725FE" w:rsidRDefault="00F3218B" w:rsidP="00CF634D">
      <w:pPr>
        <w:pStyle w:val="FootnoteText"/>
      </w:pPr>
      <w:r w:rsidRPr="00E725FE">
        <w:rPr>
          <w:rStyle w:val="FootnoteReference"/>
        </w:rPr>
        <w:footnoteRef/>
      </w:r>
      <w:r>
        <w:t xml:space="preserve"> </w:t>
      </w:r>
      <w:r w:rsidRPr="00E725FE">
        <w:t xml:space="preserve">The currency of tender </w:t>
      </w:r>
      <w:r>
        <w:t>will</w:t>
      </w:r>
      <w:r w:rsidRPr="00E725FE">
        <w:t xml:space="preserve"> be the currency of the contract and of payment.</w:t>
      </w:r>
    </w:p>
  </w:footnote>
  <w:footnote w:id="4">
    <w:p w14:paraId="4AE2934E" w14:textId="77777777" w:rsidR="00F3218B" w:rsidRPr="006D46E8" w:rsidRDefault="00F3218B">
      <w:pPr>
        <w:pStyle w:val="FootnoteText"/>
      </w:pPr>
      <w:r>
        <w:rPr>
          <w:rStyle w:val="FootnoteReference"/>
        </w:rPr>
        <w:footnoteRef/>
      </w:r>
      <w:r>
        <w:t xml:space="preserve"> </w:t>
      </w:r>
      <w:r w:rsidRPr="000A7BE8">
        <w:t>It is recommended to use registered mail in case the postmark would not be readable.</w:t>
      </w:r>
    </w:p>
  </w:footnote>
  <w:footnote w:id="5">
    <w:p w14:paraId="13FF738F" w14:textId="77777777" w:rsidR="00F3218B" w:rsidRDefault="00F3218B" w:rsidP="00CE2517">
      <w:pPr>
        <w:pStyle w:val="FootnoteText"/>
      </w:pPr>
      <w:r>
        <w:rPr>
          <w:rStyle w:val="FootnoteReference"/>
        </w:rPr>
        <w:footnoteRef/>
      </w:r>
      <w:r>
        <w:t xml:space="preserve"> Annual costs for electricity, chemical and sludge disposal costs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E1A91" w14:textId="77777777" w:rsidR="00F3218B" w:rsidRDefault="00F3218B"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C4D59C5"/>
    <w:multiLevelType w:val="hybridMultilevel"/>
    <w:tmpl w:val="89368430"/>
    <w:lvl w:ilvl="0" w:tplc="83665824">
      <w:start w:val="1"/>
      <w:numFmt w:val="lowerLetter"/>
      <w:lvlText w:val="%1)"/>
      <w:lvlJc w:val="left"/>
      <w:pPr>
        <w:ind w:left="1260" w:hanging="360"/>
      </w:pPr>
      <w:rPr>
        <w:rFonts w:ascii="Times New Roman" w:hAnsi="Times New Roman"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217E0F55"/>
    <w:multiLevelType w:val="hybridMultilevel"/>
    <w:tmpl w:val="CFC44D04"/>
    <w:lvl w:ilvl="0" w:tplc="04090017">
      <w:start w:val="1"/>
      <w:numFmt w:val="lowerLetter"/>
      <w:lvlText w:val="%1)"/>
      <w:lvlJc w:val="left"/>
      <w:pPr>
        <w:ind w:left="2214" w:hanging="360"/>
      </w:pPr>
      <w:rPr>
        <w:rFonts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7"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15:restartNumberingAfterBreak="0">
    <w:nsid w:val="4B247BB3"/>
    <w:multiLevelType w:val="hybridMultilevel"/>
    <w:tmpl w:val="48425F2A"/>
    <w:lvl w:ilvl="0" w:tplc="2D881B2A">
      <w:start w:val="1"/>
      <w:numFmt w:val="lowerLetter"/>
      <w:lvlText w:val="%1)"/>
      <w:lvlJc w:val="left"/>
      <w:pPr>
        <w:ind w:left="2214" w:hanging="360"/>
      </w:pPr>
      <w:rPr>
        <w:rFonts w:hint="default"/>
        <w:b w:val="0"/>
        <w:i w:val="0"/>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2" w15:restartNumberingAfterBreak="0">
    <w:nsid w:val="4FCC15B5"/>
    <w:multiLevelType w:val="hybridMultilevel"/>
    <w:tmpl w:val="48425F2A"/>
    <w:lvl w:ilvl="0" w:tplc="2D881B2A">
      <w:start w:val="1"/>
      <w:numFmt w:val="lowerLetter"/>
      <w:lvlText w:val="%1)"/>
      <w:lvlJc w:val="left"/>
      <w:pPr>
        <w:ind w:left="2214" w:hanging="360"/>
      </w:pPr>
      <w:rPr>
        <w:rFonts w:hint="default"/>
        <w:b w:val="0"/>
        <w:i w:val="0"/>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3" w15:restartNumberingAfterBreak="0">
    <w:nsid w:val="51590670"/>
    <w:multiLevelType w:val="hybridMultilevel"/>
    <w:tmpl w:val="4150F8A0"/>
    <w:lvl w:ilvl="0" w:tplc="04090017">
      <w:start w:val="1"/>
      <w:numFmt w:val="lowerLetter"/>
      <w:lvlText w:val="%1)"/>
      <w:lvlJc w:val="left"/>
      <w:pPr>
        <w:ind w:left="2040" w:hanging="360"/>
      </w:pPr>
    </w:lvl>
    <w:lvl w:ilvl="1" w:tplc="08090019" w:tentative="1">
      <w:start w:val="1"/>
      <w:numFmt w:val="lowerLetter"/>
      <w:lvlText w:val="%2."/>
      <w:lvlJc w:val="left"/>
      <w:pPr>
        <w:ind w:left="2760" w:hanging="360"/>
      </w:pPr>
    </w:lvl>
    <w:lvl w:ilvl="2" w:tplc="0809001B" w:tentative="1">
      <w:start w:val="1"/>
      <w:numFmt w:val="lowerRoman"/>
      <w:lvlText w:val="%3."/>
      <w:lvlJc w:val="right"/>
      <w:pPr>
        <w:ind w:left="3480" w:hanging="180"/>
      </w:pPr>
    </w:lvl>
    <w:lvl w:ilvl="3" w:tplc="0809000F" w:tentative="1">
      <w:start w:val="1"/>
      <w:numFmt w:val="decimal"/>
      <w:lvlText w:val="%4."/>
      <w:lvlJc w:val="left"/>
      <w:pPr>
        <w:ind w:left="4200" w:hanging="360"/>
      </w:pPr>
    </w:lvl>
    <w:lvl w:ilvl="4" w:tplc="08090019" w:tentative="1">
      <w:start w:val="1"/>
      <w:numFmt w:val="lowerLetter"/>
      <w:lvlText w:val="%5."/>
      <w:lvlJc w:val="left"/>
      <w:pPr>
        <w:ind w:left="4920" w:hanging="360"/>
      </w:pPr>
    </w:lvl>
    <w:lvl w:ilvl="5" w:tplc="0809001B" w:tentative="1">
      <w:start w:val="1"/>
      <w:numFmt w:val="lowerRoman"/>
      <w:lvlText w:val="%6."/>
      <w:lvlJc w:val="right"/>
      <w:pPr>
        <w:ind w:left="5640" w:hanging="180"/>
      </w:pPr>
    </w:lvl>
    <w:lvl w:ilvl="6" w:tplc="0809000F" w:tentative="1">
      <w:start w:val="1"/>
      <w:numFmt w:val="decimal"/>
      <w:lvlText w:val="%7."/>
      <w:lvlJc w:val="left"/>
      <w:pPr>
        <w:ind w:left="6360" w:hanging="360"/>
      </w:pPr>
    </w:lvl>
    <w:lvl w:ilvl="7" w:tplc="08090019" w:tentative="1">
      <w:start w:val="1"/>
      <w:numFmt w:val="lowerLetter"/>
      <w:lvlText w:val="%8."/>
      <w:lvlJc w:val="left"/>
      <w:pPr>
        <w:ind w:left="7080" w:hanging="360"/>
      </w:pPr>
    </w:lvl>
    <w:lvl w:ilvl="8" w:tplc="0809001B" w:tentative="1">
      <w:start w:val="1"/>
      <w:numFmt w:val="lowerRoman"/>
      <w:lvlText w:val="%9."/>
      <w:lvlJc w:val="right"/>
      <w:pPr>
        <w:ind w:left="7800" w:hanging="180"/>
      </w:pPr>
    </w:lvl>
  </w:abstractNum>
  <w:abstractNum w:abstractNumId="14"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634048DB"/>
    <w:multiLevelType w:val="multilevel"/>
    <w:tmpl w:val="00E23AA2"/>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942813"/>
    <w:multiLevelType w:val="hybridMultilevel"/>
    <w:tmpl w:val="3B1E73A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2"/>
  </w:num>
  <w:num w:numId="2">
    <w:abstractNumId w:val="9"/>
  </w:num>
  <w:num w:numId="3">
    <w:abstractNumId w:val="10"/>
  </w:num>
  <w:num w:numId="4">
    <w:abstractNumId w:val="5"/>
  </w:num>
  <w:num w:numId="5">
    <w:abstractNumId w:val="18"/>
    <w:lvlOverride w:ilvl="0">
      <w:startOverride w:val="1"/>
    </w:lvlOverride>
  </w:num>
  <w:num w:numId="6">
    <w:abstractNumId w:val="15"/>
  </w:num>
  <w:num w:numId="7">
    <w:abstractNumId w:val="24"/>
  </w:num>
  <w:num w:numId="8">
    <w:abstractNumId w:val="8"/>
  </w:num>
  <w:num w:numId="9">
    <w:abstractNumId w:val="1"/>
  </w:num>
  <w:num w:numId="10">
    <w:abstractNumId w:val="17"/>
  </w:num>
  <w:num w:numId="11">
    <w:abstractNumId w:val="20"/>
  </w:num>
  <w:num w:numId="12">
    <w:abstractNumId w:val="21"/>
  </w:num>
  <w:num w:numId="13">
    <w:abstractNumId w:val="2"/>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0"/>
  </w:num>
  <w:num w:numId="17">
    <w:abstractNumId w:val="19"/>
  </w:num>
  <w:num w:numId="18">
    <w:abstractNumId w:val="14"/>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6"/>
  </w:num>
  <w:num w:numId="22">
    <w:abstractNumId w:val="11"/>
  </w:num>
  <w:num w:numId="23">
    <w:abstractNumId w:val="13"/>
  </w:num>
  <w:num w:numId="24">
    <w:abstractNumId w:val="12"/>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587C"/>
    <w:rsid w:val="00017B50"/>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4F35"/>
    <w:rsid w:val="0012215B"/>
    <w:rsid w:val="001223A5"/>
    <w:rsid w:val="001301A4"/>
    <w:rsid w:val="00136117"/>
    <w:rsid w:val="00136E89"/>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D45"/>
    <w:rsid w:val="001A4E4A"/>
    <w:rsid w:val="001A59A9"/>
    <w:rsid w:val="001B31E6"/>
    <w:rsid w:val="001B3B0F"/>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401C"/>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0A07"/>
    <w:rsid w:val="00281035"/>
    <w:rsid w:val="00281289"/>
    <w:rsid w:val="00284343"/>
    <w:rsid w:val="00285C17"/>
    <w:rsid w:val="00286A23"/>
    <w:rsid w:val="00290AE7"/>
    <w:rsid w:val="00292445"/>
    <w:rsid w:val="00295092"/>
    <w:rsid w:val="0029589C"/>
    <w:rsid w:val="00295D97"/>
    <w:rsid w:val="002A1AA5"/>
    <w:rsid w:val="002A2676"/>
    <w:rsid w:val="002A632D"/>
    <w:rsid w:val="002B13F4"/>
    <w:rsid w:val="002B27FA"/>
    <w:rsid w:val="002B596D"/>
    <w:rsid w:val="002C1FC6"/>
    <w:rsid w:val="002C5329"/>
    <w:rsid w:val="002D0A12"/>
    <w:rsid w:val="002D0B03"/>
    <w:rsid w:val="002D294D"/>
    <w:rsid w:val="002D75A2"/>
    <w:rsid w:val="002E4B5A"/>
    <w:rsid w:val="002F41E6"/>
    <w:rsid w:val="002F6CE9"/>
    <w:rsid w:val="002F6D2E"/>
    <w:rsid w:val="0030020C"/>
    <w:rsid w:val="00301BDD"/>
    <w:rsid w:val="00301DE9"/>
    <w:rsid w:val="00307CD8"/>
    <w:rsid w:val="003111D9"/>
    <w:rsid w:val="00311D2D"/>
    <w:rsid w:val="0031338C"/>
    <w:rsid w:val="00326118"/>
    <w:rsid w:val="003308BB"/>
    <w:rsid w:val="00330BE1"/>
    <w:rsid w:val="00331C3D"/>
    <w:rsid w:val="0033332D"/>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0D02"/>
    <w:rsid w:val="003E1900"/>
    <w:rsid w:val="003E3265"/>
    <w:rsid w:val="003E596D"/>
    <w:rsid w:val="003F005A"/>
    <w:rsid w:val="003F45C4"/>
    <w:rsid w:val="003F46DC"/>
    <w:rsid w:val="003F6C02"/>
    <w:rsid w:val="004011DC"/>
    <w:rsid w:val="004013BB"/>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37F5"/>
    <w:rsid w:val="00483FFD"/>
    <w:rsid w:val="004842DD"/>
    <w:rsid w:val="00490927"/>
    <w:rsid w:val="0049139F"/>
    <w:rsid w:val="004915B0"/>
    <w:rsid w:val="00492E05"/>
    <w:rsid w:val="00494A0D"/>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79B6"/>
    <w:rsid w:val="004E7AFB"/>
    <w:rsid w:val="004F13D8"/>
    <w:rsid w:val="004F3026"/>
    <w:rsid w:val="004F4060"/>
    <w:rsid w:val="004F42EC"/>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2491"/>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261E4"/>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301"/>
    <w:rsid w:val="00670A4C"/>
    <w:rsid w:val="00674750"/>
    <w:rsid w:val="00677467"/>
    <w:rsid w:val="0068098D"/>
    <w:rsid w:val="00681665"/>
    <w:rsid w:val="0068234B"/>
    <w:rsid w:val="00684DD9"/>
    <w:rsid w:val="00684E45"/>
    <w:rsid w:val="00685580"/>
    <w:rsid w:val="006872CB"/>
    <w:rsid w:val="00691AC6"/>
    <w:rsid w:val="006934C9"/>
    <w:rsid w:val="006A5FE3"/>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7ADF"/>
    <w:rsid w:val="007300FC"/>
    <w:rsid w:val="00733400"/>
    <w:rsid w:val="00734914"/>
    <w:rsid w:val="007368F8"/>
    <w:rsid w:val="00740350"/>
    <w:rsid w:val="00741C18"/>
    <w:rsid w:val="00742986"/>
    <w:rsid w:val="00745127"/>
    <w:rsid w:val="00745390"/>
    <w:rsid w:val="00746BFC"/>
    <w:rsid w:val="00750718"/>
    <w:rsid w:val="00753C78"/>
    <w:rsid w:val="00754EC4"/>
    <w:rsid w:val="0076325C"/>
    <w:rsid w:val="007674BA"/>
    <w:rsid w:val="00776DF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4BEB"/>
    <w:rsid w:val="00866754"/>
    <w:rsid w:val="0086700B"/>
    <w:rsid w:val="0087152F"/>
    <w:rsid w:val="00872EA1"/>
    <w:rsid w:val="00873C4F"/>
    <w:rsid w:val="00880541"/>
    <w:rsid w:val="008824C1"/>
    <w:rsid w:val="008838FC"/>
    <w:rsid w:val="008869D6"/>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33594"/>
    <w:rsid w:val="00934749"/>
    <w:rsid w:val="009348EA"/>
    <w:rsid w:val="00937D52"/>
    <w:rsid w:val="00941A39"/>
    <w:rsid w:val="009428E3"/>
    <w:rsid w:val="0094335F"/>
    <w:rsid w:val="009455FD"/>
    <w:rsid w:val="009456AE"/>
    <w:rsid w:val="0094728C"/>
    <w:rsid w:val="009639E9"/>
    <w:rsid w:val="009650C2"/>
    <w:rsid w:val="00966028"/>
    <w:rsid w:val="009706F3"/>
    <w:rsid w:val="00974535"/>
    <w:rsid w:val="00975CA2"/>
    <w:rsid w:val="00981C01"/>
    <w:rsid w:val="00981D7A"/>
    <w:rsid w:val="00983665"/>
    <w:rsid w:val="009858A9"/>
    <w:rsid w:val="00990012"/>
    <w:rsid w:val="009941D4"/>
    <w:rsid w:val="009A2A36"/>
    <w:rsid w:val="009A4523"/>
    <w:rsid w:val="009A4DC8"/>
    <w:rsid w:val="009A5924"/>
    <w:rsid w:val="009B0379"/>
    <w:rsid w:val="009B2EFD"/>
    <w:rsid w:val="009B571E"/>
    <w:rsid w:val="009B7BC0"/>
    <w:rsid w:val="009C1E79"/>
    <w:rsid w:val="009C1EBA"/>
    <w:rsid w:val="009C401C"/>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704F2"/>
    <w:rsid w:val="00A70ABB"/>
    <w:rsid w:val="00A70AF1"/>
    <w:rsid w:val="00A77ECC"/>
    <w:rsid w:val="00A81065"/>
    <w:rsid w:val="00A8166C"/>
    <w:rsid w:val="00A92440"/>
    <w:rsid w:val="00AA1AE6"/>
    <w:rsid w:val="00AA1F74"/>
    <w:rsid w:val="00AA515C"/>
    <w:rsid w:val="00AA7E1D"/>
    <w:rsid w:val="00AB5381"/>
    <w:rsid w:val="00AB6B6C"/>
    <w:rsid w:val="00AB7099"/>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1A11"/>
    <w:rsid w:val="00B058DF"/>
    <w:rsid w:val="00B078C7"/>
    <w:rsid w:val="00B11DF2"/>
    <w:rsid w:val="00B11FAE"/>
    <w:rsid w:val="00B142C3"/>
    <w:rsid w:val="00B150F8"/>
    <w:rsid w:val="00B25C45"/>
    <w:rsid w:val="00B30328"/>
    <w:rsid w:val="00B30588"/>
    <w:rsid w:val="00B328BF"/>
    <w:rsid w:val="00B460D5"/>
    <w:rsid w:val="00B474CE"/>
    <w:rsid w:val="00B47814"/>
    <w:rsid w:val="00B52260"/>
    <w:rsid w:val="00B52E82"/>
    <w:rsid w:val="00B540F0"/>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0697"/>
    <w:rsid w:val="00C55AB1"/>
    <w:rsid w:val="00C55CFE"/>
    <w:rsid w:val="00C600C0"/>
    <w:rsid w:val="00C6617E"/>
    <w:rsid w:val="00C664A9"/>
    <w:rsid w:val="00C678BA"/>
    <w:rsid w:val="00C70296"/>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381A"/>
    <w:rsid w:val="00CB54F7"/>
    <w:rsid w:val="00CB6BEC"/>
    <w:rsid w:val="00CC0B79"/>
    <w:rsid w:val="00CC20F5"/>
    <w:rsid w:val="00CC24E6"/>
    <w:rsid w:val="00CC2D33"/>
    <w:rsid w:val="00CC300A"/>
    <w:rsid w:val="00CC74DB"/>
    <w:rsid w:val="00CC76FD"/>
    <w:rsid w:val="00CD0A21"/>
    <w:rsid w:val="00CD2624"/>
    <w:rsid w:val="00CD4F9E"/>
    <w:rsid w:val="00CD5DB2"/>
    <w:rsid w:val="00CD6A68"/>
    <w:rsid w:val="00CE2517"/>
    <w:rsid w:val="00CE4A2D"/>
    <w:rsid w:val="00CF16C9"/>
    <w:rsid w:val="00CF24DE"/>
    <w:rsid w:val="00CF3929"/>
    <w:rsid w:val="00CF3F1F"/>
    <w:rsid w:val="00CF4644"/>
    <w:rsid w:val="00CF49AA"/>
    <w:rsid w:val="00CF634D"/>
    <w:rsid w:val="00CF7557"/>
    <w:rsid w:val="00CF7668"/>
    <w:rsid w:val="00CF7B80"/>
    <w:rsid w:val="00D00170"/>
    <w:rsid w:val="00D075AE"/>
    <w:rsid w:val="00D12BF3"/>
    <w:rsid w:val="00D13773"/>
    <w:rsid w:val="00D13F78"/>
    <w:rsid w:val="00D164BD"/>
    <w:rsid w:val="00D25089"/>
    <w:rsid w:val="00D2731E"/>
    <w:rsid w:val="00D27E89"/>
    <w:rsid w:val="00D3042B"/>
    <w:rsid w:val="00D316BA"/>
    <w:rsid w:val="00D3192F"/>
    <w:rsid w:val="00D3197A"/>
    <w:rsid w:val="00D402EB"/>
    <w:rsid w:val="00D41A93"/>
    <w:rsid w:val="00D45870"/>
    <w:rsid w:val="00D55CFC"/>
    <w:rsid w:val="00D56D18"/>
    <w:rsid w:val="00D57736"/>
    <w:rsid w:val="00D60BA1"/>
    <w:rsid w:val="00D61604"/>
    <w:rsid w:val="00D6166B"/>
    <w:rsid w:val="00D63EA6"/>
    <w:rsid w:val="00D713F1"/>
    <w:rsid w:val="00D71A81"/>
    <w:rsid w:val="00D745FA"/>
    <w:rsid w:val="00D761AE"/>
    <w:rsid w:val="00D81A28"/>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1657"/>
    <w:rsid w:val="00E028A5"/>
    <w:rsid w:val="00E04DBC"/>
    <w:rsid w:val="00E060FF"/>
    <w:rsid w:val="00E06F05"/>
    <w:rsid w:val="00E12E18"/>
    <w:rsid w:val="00E142EC"/>
    <w:rsid w:val="00E210CE"/>
    <w:rsid w:val="00E225E8"/>
    <w:rsid w:val="00E246FA"/>
    <w:rsid w:val="00E24C7B"/>
    <w:rsid w:val="00E31B60"/>
    <w:rsid w:val="00E31C27"/>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4E0F"/>
    <w:rsid w:val="00E75A03"/>
    <w:rsid w:val="00E77BF8"/>
    <w:rsid w:val="00E835BF"/>
    <w:rsid w:val="00E85742"/>
    <w:rsid w:val="00E85A3F"/>
    <w:rsid w:val="00E94446"/>
    <w:rsid w:val="00E95D40"/>
    <w:rsid w:val="00E97DD1"/>
    <w:rsid w:val="00EA0BB7"/>
    <w:rsid w:val="00EA74AC"/>
    <w:rsid w:val="00EA7DBE"/>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496E"/>
    <w:rsid w:val="00F25C13"/>
    <w:rsid w:val="00F3218B"/>
    <w:rsid w:val="00F33556"/>
    <w:rsid w:val="00F4121B"/>
    <w:rsid w:val="00F46499"/>
    <w:rsid w:val="00F52060"/>
    <w:rsid w:val="00F54C76"/>
    <w:rsid w:val="00F557E2"/>
    <w:rsid w:val="00F5689C"/>
    <w:rsid w:val="00F57AA4"/>
    <w:rsid w:val="00F617FD"/>
    <w:rsid w:val="00F62F2E"/>
    <w:rsid w:val="00F63CA5"/>
    <w:rsid w:val="00F64B78"/>
    <w:rsid w:val="00F70558"/>
    <w:rsid w:val="00F726B1"/>
    <w:rsid w:val="00F73B9C"/>
    <w:rsid w:val="00F73DFE"/>
    <w:rsid w:val="00F74319"/>
    <w:rsid w:val="00F75DA2"/>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E97DD1"/>
    <w:pPr>
      <w:keepNext/>
      <w:numPr>
        <w:numId w:val="15"/>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D402EB"/>
    <w:pPr>
      <w:keepNext/>
      <w:numPr>
        <w:ilvl w:val="1"/>
        <w:numId w:val="15"/>
      </w:numPr>
      <w:tabs>
        <w:tab w:val="left" w:pos="567"/>
      </w:tabs>
      <w:spacing w:before="240"/>
      <w:ind w:hanging="486"/>
      <w:outlineLvl w:val="1"/>
    </w:pPr>
    <w:rPr>
      <w:b/>
      <w:szCs w:val="22"/>
    </w:rPr>
  </w:style>
  <w:style w:type="paragraph" w:styleId="Heading3">
    <w:name w:val="heading 3"/>
    <w:basedOn w:val="Normal"/>
    <w:next w:val="Normal"/>
    <w:link w:val="Heading3Char"/>
    <w:qFormat/>
    <w:rsid w:val="00295D97"/>
    <w:pPr>
      <w:numPr>
        <w:ilvl w:val="2"/>
        <w:numId w:val="15"/>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15"/>
      </w:numPr>
      <w:spacing w:before="120"/>
      <w:ind w:left="1134"/>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D402EB"/>
    <w:rPr>
      <w:b/>
      <w:snapToGrid w:val="0"/>
      <w:sz w:val="22"/>
      <w:szCs w:val="22"/>
      <w:lang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hAnsi="Calibri"/>
      <w:b/>
      <w:bCs/>
      <w:snapToGrid w:val="0"/>
      <w:sz w:val="22"/>
      <w:szCs w:val="22"/>
      <w:lang w:eastAsia="en-US"/>
    </w:rPr>
  </w:style>
  <w:style w:type="character" w:customStyle="1" w:styleId="Heading9Char">
    <w:name w:val="Heading 9 Char"/>
    <w:link w:val="Heading9"/>
    <w:semiHidden/>
    <w:rsid w:val="00E97DD1"/>
    <w:rPr>
      <w:rFonts w:ascii="Cambria" w:hAnsi="Cambria"/>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ec.europa.eu/europeaid/prag/annexes.do?chapterTitleCode=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fcu.gov.rs/tenderi.php" TargetMode="External"/><Relationship Id="rId2" Type="http://schemas.openxmlformats.org/officeDocument/2006/relationships/customXml" Target="../customXml/item2.xml"/><Relationship Id="rId16" Type="http://schemas.openxmlformats.org/officeDocument/2006/relationships/hyperlink" Target="https://ec.europa.eu/info/funding-tenders/opportunities/portal/screen/hom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57E84-A30A-461F-A313-EFCF9DED8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3AF99E-6A52-47D9-A8D4-12F338FCD237}">
  <ds:schemaRefs>
    <ds:schemaRef ds:uri="http://schemas.microsoft.com/sharepoint/v3/contenttype/forms"/>
  </ds:schemaRefs>
</ds:datastoreItem>
</file>

<file path=customXml/itemProps3.xml><?xml version="1.0" encoding="utf-8"?>
<ds:datastoreItem xmlns:ds="http://schemas.openxmlformats.org/officeDocument/2006/customXml" ds:itemID="{B74507DA-11A0-4CEA-93F4-850D7A415D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782273-4D90-48C0-AE8F-DC457CDD3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8491</Words>
  <Characters>48399</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56777</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Vera Blažon</cp:lastModifiedBy>
  <cp:revision>19</cp:revision>
  <cp:lastPrinted>2018-11-08T15:51:00Z</cp:lastPrinted>
  <dcterms:created xsi:type="dcterms:W3CDTF">2021-12-17T12:33:00Z</dcterms:created>
  <dcterms:modified xsi:type="dcterms:W3CDTF">2022-02-22T09:45:00Z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