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EFD53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1C6919D1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07103767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142A210B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2F42666F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1607616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0C9EE198" w14:textId="1C87279B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653BCA">
        <w:rPr>
          <w:rFonts w:ascii="Times New Roman" w:hAnsi="Times New Roman"/>
          <w:sz w:val="28"/>
          <w:szCs w:val="28"/>
        </w:rPr>
        <w:t>48-00-14/2023-28</w:t>
      </w:r>
    </w:p>
    <w:p w14:paraId="46412F27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4DBAC814" w14:textId="77777777" w:rsidR="00653BCA" w:rsidRDefault="00653BCA" w:rsidP="00653BCA">
      <w:pPr>
        <w:spacing w:after="720"/>
        <w:jc w:val="center"/>
        <w:rPr>
          <w:rFonts w:ascii="Times New Roman" w:hAnsi="Times New Roman"/>
          <w:b/>
          <w:smallCaps/>
          <w:sz w:val="28"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>
        <w:rPr>
          <w:rFonts w:ascii="Times New Roman" w:hAnsi="Times New Roman"/>
          <w:b/>
          <w:smallCaps/>
          <w:sz w:val="28"/>
          <w:lang w:val="en-GB"/>
        </w:rPr>
        <w:t>general budget of the Union</w:t>
      </w:r>
    </w:p>
    <w:p w14:paraId="119A8A19" w14:textId="77777777" w:rsidR="00653BCA" w:rsidRPr="00E24BA5" w:rsidRDefault="00653BCA" w:rsidP="00653BC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E13F35">
        <w:rPr>
          <w:rFonts w:ascii="Times New Roman" w:hAnsi="Times New Roman"/>
          <w:sz w:val="22"/>
          <w:szCs w:val="22"/>
          <w:lang w:val="en-GB"/>
        </w:rPr>
        <w:t xml:space="preserve">The Government of the Republic of Serbia, represented by the Ministry of Finance, Department for Contracting and Financing of EU Funded Programmes (CFCU), Sremska 3-5 St, 11000 Belgrade, </w:t>
      </w:r>
    </w:p>
    <w:p w14:paraId="70B0AAF5" w14:textId="77777777" w:rsidR="00653BCA" w:rsidRPr="00387E08" w:rsidRDefault="00653BCA" w:rsidP="00653BCA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 xml:space="preserve"> 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449B7CF4" w14:textId="77777777" w:rsidR="00653BCA" w:rsidRPr="009B30FB" w:rsidRDefault="00653BCA" w:rsidP="00653BCA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1C157189" w14:textId="77777777" w:rsidR="00653BCA" w:rsidRPr="009B30FB" w:rsidRDefault="00653BCA" w:rsidP="00653BCA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7DB166E3" w14:textId="77777777" w:rsidR="00653BCA" w:rsidRPr="009B30FB" w:rsidRDefault="00653BCA" w:rsidP="00653BCA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name of </w:t>
      </w:r>
      <w:r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19C515AB" w14:textId="77777777" w:rsidR="00653BCA" w:rsidRPr="005F2975" w:rsidRDefault="00653BCA" w:rsidP="00653BCA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status/title&gt;]</w:t>
      </w:r>
      <w:r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38DCF6B2" w14:textId="77777777" w:rsidR="00653BCA" w:rsidRPr="005F2975" w:rsidRDefault="00653BCA" w:rsidP="00653BCA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[&lt;Official registration number&gt;]</w:t>
      </w:r>
      <w:r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  <w:bookmarkStart w:id="2" w:name="_GoBack"/>
      <w:bookmarkEnd w:id="2"/>
    </w:p>
    <w:p w14:paraId="0FF0DFA3" w14:textId="77777777" w:rsidR="00653BCA" w:rsidRPr="005F2975" w:rsidRDefault="00653BCA" w:rsidP="00653BCA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&lt;Full official address&gt;</w:t>
      </w:r>
    </w:p>
    <w:p w14:paraId="26C022F1" w14:textId="77777777" w:rsidR="00653BCA" w:rsidRPr="009B30FB" w:rsidRDefault="00653BCA" w:rsidP="00653BCA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[&lt;VAT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Pr="009B30FB">
        <w:rPr>
          <w:rFonts w:ascii="Times New Roman" w:hAnsi="Times New Roman"/>
          <w:sz w:val="22"/>
          <w:szCs w:val="22"/>
          <w:lang w:val="en-GB"/>
        </w:rPr>
        <w:t>]</w:t>
      </w:r>
      <w:r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Pr="009B30FB">
        <w:rPr>
          <w:rFonts w:ascii="Times New Roman" w:hAnsi="Times New Roman"/>
          <w:sz w:val="22"/>
          <w:szCs w:val="22"/>
          <w:lang w:val="en-GB"/>
        </w:rPr>
        <w:t>, 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34095044" w14:textId="77777777" w:rsidR="00653BCA" w:rsidRPr="009B30FB" w:rsidRDefault="00653BCA" w:rsidP="00653BC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64591CF0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49B81407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35E53F83" w14:textId="77777777" w:rsidR="00653BCA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14:paraId="36C25ECE" w14:textId="77777777" w:rsidR="00FA675C" w:rsidRPr="00FA675C" w:rsidRDefault="00FA675C" w:rsidP="00FA675C">
      <w:pPr>
        <w:tabs>
          <w:tab w:val="left" w:pos="709"/>
          <w:tab w:val="left" w:pos="851"/>
          <w:tab w:val="left" w:pos="1134"/>
          <w:tab w:val="left" w:pos="1418"/>
        </w:tabs>
        <w:rPr>
          <w:rFonts w:ascii="Times New Roman" w:hAnsi="Times New Roman"/>
          <w:b/>
          <w:sz w:val="24"/>
          <w:szCs w:val="24"/>
          <w:lang w:val="sr-Latn-RS"/>
        </w:rPr>
      </w:pPr>
      <w:r w:rsidRPr="00FA675C">
        <w:rPr>
          <w:rFonts w:ascii="Times New Roman" w:hAnsi="Times New Roman"/>
          <w:b/>
          <w:sz w:val="24"/>
          <w:szCs w:val="24"/>
          <w:lang w:val="en-GB"/>
        </w:rPr>
        <w:t xml:space="preserve">          </w:t>
      </w:r>
      <w:r w:rsidRPr="00FA675C">
        <w:rPr>
          <w:rFonts w:ascii="Times New Roman" w:hAnsi="Times New Roman"/>
          <w:b/>
          <w:sz w:val="24"/>
          <w:szCs w:val="24"/>
          <w:lang w:val="en-US"/>
        </w:rPr>
        <w:t>Supply of equipment for demining and destruction of unexploded ordnance</w:t>
      </w:r>
      <w:r w:rsidRPr="00FA675C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</w:p>
    <w:p w14:paraId="59BBD2FC" w14:textId="77777777" w:rsidR="00FA675C" w:rsidRPr="00FA675C" w:rsidRDefault="00FA675C" w:rsidP="00FA675C">
      <w:pPr>
        <w:spacing w:before="0" w:after="0"/>
        <w:jc w:val="center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FA675C">
        <w:rPr>
          <w:rFonts w:ascii="Times New Roman" w:hAnsi="Times New Roman"/>
          <w:b/>
          <w:sz w:val="24"/>
          <w:szCs w:val="24"/>
          <w:lang w:val="en-GB"/>
        </w:rPr>
        <w:t>LOT 1 - Supply of humanitarian demining equipment</w:t>
      </w:r>
    </w:p>
    <w:p w14:paraId="1599F8B2" w14:textId="152BD1AE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C03880">
        <w:rPr>
          <w:rFonts w:ascii="Times New Roman" w:hAnsi="Times New Roman"/>
          <w:sz w:val="22"/>
          <w:lang w:val="en-GB"/>
        </w:rPr>
        <w:t>NEAR/BEG/2023/EA-OP/0149</w:t>
      </w:r>
    </w:p>
    <w:p w14:paraId="4EE694C3" w14:textId="77777777"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7EE5DD58" w14:textId="77777777" w:rsidR="00FA675C" w:rsidRPr="003A4EB0" w:rsidRDefault="00FA675C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14:paraId="5369775F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101561D7" w14:textId="22E2099D" w:rsidR="00653BCA" w:rsidRPr="00286E16" w:rsidRDefault="00653BCA" w:rsidP="00653BCA">
      <w:pPr>
        <w:pStyle w:val="Heading2"/>
        <w:keepNext w:val="0"/>
        <w:ind w:left="709" w:firstLine="14"/>
        <w:jc w:val="both"/>
        <w:rPr>
          <w:rFonts w:ascii="Times New Roman" w:hAnsi="Times New Roman"/>
          <w:sz w:val="22"/>
          <w:lang w:val="sr-Latn-RS"/>
        </w:rPr>
      </w:pPr>
      <w:r>
        <w:rPr>
          <w:rFonts w:ascii="Times New Roman" w:hAnsi="Times New Roman"/>
          <w:sz w:val="22"/>
          <w:lang w:val="en-GB"/>
        </w:rPr>
        <w:t>t</w:t>
      </w:r>
      <w:proofErr w:type="spellStart"/>
      <w:r w:rsidRPr="004F1F8C">
        <w:rPr>
          <w:rFonts w:ascii="Times New Roman" w:hAnsi="Times New Roman"/>
          <w:sz w:val="22"/>
        </w:rPr>
        <w:t>he</w:t>
      </w:r>
      <w:proofErr w:type="spellEnd"/>
      <w:r w:rsidRPr="004F1F8C">
        <w:rPr>
          <w:rFonts w:ascii="Times New Roman" w:hAnsi="Times New Roman"/>
          <w:sz w:val="22"/>
        </w:rPr>
        <w:t xml:space="preserve"> </w:t>
      </w:r>
      <w:proofErr w:type="spellStart"/>
      <w:r w:rsidRPr="00286E16">
        <w:rPr>
          <w:rFonts w:ascii="Times New Roman" w:hAnsi="Times New Roman"/>
          <w:sz w:val="22"/>
        </w:rPr>
        <w:t>supply</w:t>
      </w:r>
      <w:proofErr w:type="spellEnd"/>
      <w:r w:rsidRPr="00286E16">
        <w:rPr>
          <w:rFonts w:ascii="Times New Roman" w:hAnsi="Times New Roman"/>
          <w:sz w:val="22"/>
        </w:rPr>
        <w:t xml:space="preserve">, </w:t>
      </w:r>
      <w:proofErr w:type="spellStart"/>
      <w:r w:rsidRPr="00286E16">
        <w:rPr>
          <w:rFonts w:ascii="Times New Roman" w:hAnsi="Times New Roman"/>
          <w:sz w:val="22"/>
        </w:rPr>
        <w:t>delivery</w:t>
      </w:r>
      <w:proofErr w:type="spellEnd"/>
      <w:r w:rsidRPr="00286E16">
        <w:rPr>
          <w:rFonts w:ascii="Times New Roman" w:hAnsi="Times New Roman"/>
          <w:sz w:val="22"/>
        </w:rPr>
        <w:t xml:space="preserve">, </w:t>
      </w:r>
      <w:proofErr w:type="spellStart"/>
      <w:r w:rsidRPr="00286E16">
        <w:rPr>
          <w:rFonts w:ascii="Times New Roman" w:hAnsi="Times New Roman"/>
          <w:sz w:val="22"/>
        </w:rPr>
        <w:t>unloading</w:t>
      </w:r>
      <w:proofErr w:type="spellEnd"/>
      <w:r w:rsidRPr="00286E16">
        <w:rPr>
          <w:rFonts w:ascii="Times New Roman" w:hAnsi="Times New Roman"/>
          <w:sz w:val="22"/>
        </w:rPr>
        <w:t xml:space="preserve">, </w:t>
      </w:r>
      <w:proofErr w:type="spellStart"/>
      <w:r>
        <w:rPr>
          <w:rFonts w:ascii="Times New Roman" w:hAnsi="Times New Roman"/>
          <w:sz w:val="22"/>
        </w:rPr>
        <w:t>warranty</w:t>
      </w:r>
      <w:proofErr w:type="spellEnd"/>
      <w:r>
        <w:rPr>
          <w:rFonts w:ascii="Times New Roman" w:hAnsi="Times New Roman"/>
          <w:sz w:val="22"/>
        </w:rPr>
        <w:t xml:space="preserve"> and commercial </w:t>
      </w:r>
      <w:proofErr w:type="spellStart"/>
      <w:r>
        <w:rPr>
          <w:rFonts w:ascii="Times New Roman" w:hAnsi="Times New Roman"/>
          <w:sz w:val="22"/>
        </w:rPr>
        <w:t>warranty</w:t>
      </w:r>
      <w:proofErr w:type="spellEnd"/>
      <w:r>
        <w:rPr>
          <w:rFonts w:ascii="Times New Roman" w:hAnsi="Times New Roman"/>
          <w:sz w:val="22"/>
        </w:rPr>
        <w:t xml:space="preserve"> of the </w:t>
      </w:r>
      <w:proofErr w:type="spellStart"/>
      <w:r>
        <w:rPr>
          <w:rFonts w:ascii="Times New Roman" w:hAnsi="Times New Roman"/>
          <w:sz w:val="22"/>
        </w:rPr>
        <w:t>following</w:t>
      </w:r>
      <w:proofErr w:type="spellEnd"/>
      <w:r>
        <w:rPr>
          <w:rFonts w:ascii="Times New Roman" w:hAnsi="Times New Roman"/>
          <w:sz w:val="22"/>
        </w:rPr>
        <w:t xml:space="preserve"> supplies:</w:t>
      </w:r>
    </w:p>
    <w:p w14:paraId="1F571EEB" w14:textId="77777777" w:rsidR="00653BCA" w:rsidRDefault="00653BCA" w:rsidP="00653BCA">
      <w:pPr>
        <w:ind w:left="630" w:hanging="90"/>
        <w:contextualSpacing/>
        <w:rPr>
          <w:rFonts w:ascii="Times New Roman" w:hAnsi="Times New Roman"/>
          <w:b/>
          <w:sz w:val="22"/>
          <w:szCs w:val="22"/>
          <w:lang w:val="fr-BE"/>
        </w:rPr>
      </w:pPr>
    </w:p>
    <w:p w14:paraId="6C49DE7B" w14:textId="77777777" w:rsidR="00653BCA" w:rsidRDefault="00653BCA" w:rsidP="00653BCA">
      <w:pPr>
        <w:ind w:left="630" w:hanging="90"/>
        <w:contextualSpacing/>
        <w:rPr>
          <w:rFonts w:ascii="Times New Roman" w:hAnsi="Times New Roman"/>
          <w:b/>
          <w:sz w:val="22"/>
          <w:szCs w:val="22"/>
          <w:lang w:val="fr-BE"/>
        </w:rPr>
      </w:pPr>
    </w:p>
    <w:p w14:paraId="68E90EF7" w14:textId="77777777" w:rsidR="00653BCA" w:rsidRDefault="00653BCA" w:rsidP="00653BCA">
      <w:pPr>
        <w:ind w:left="630" w:hanging="90"/>
        <w:contextualSpacing/>
        <w:rPr>
          <w:rFonts w:ascii="Times New Roman" w:hAnsi="Times New Roman"/>
          <w:b/>
          <w:sz w:val="22"/>
          <w:szCs w:val="22"/>
          <w:lang w:val="fr-BE"/>
        </w:rPr>
      </w:pPr>
    </w:p>
    <w:p w14:paraId="4FF0045A" w14:textId="77777777" w:rsidR="00653BCA" w:rsidRPr="00767EF7" w:rsidRDefault="00653BCA" w:rsidP="00653BCA">
      <w:pPr>
        <w:tabs>
          <w:tab w:val="left" w:pos="7491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lastRenderedPageBreak/>
        <w:t xml:space="preserve">          </w:t>
      </w:r>
      <w:r w:rsidRPr="00D92D26">
        <w:rPr>
          <w:rFonts w:ascii="Times New Roman" w:hAnsi="Times New Roman"/>
          <w:b/>
          <w:sz w:val="22"/>
        </w:rPr>
        <w:t>L</w:t>
      </w:r>
      <w:r>
        <w:rPr>
          <w:rFonts w:ascii="Times New Roman" w:hAnsi="Times New Roman"/>
          <w:b/>
          <w:sz w:val="22"/>
        </w:rPr>
        <w:t xml:space="preserve">ot </w:t>
      </w:r>
      <w:r w:rsidRPr="00D92D26">
        <w:rPr>
          <w:rFonts w:ascii="Times New Roman" w:hAnsi="Times New Roman"/>
          <w:b/>
          <w:sz w:val="22"/>
        </w:rPr>
        <w:t xml:space="preserve">1 – </w:t>
      </w:r>
      <w:r w:rsidRPr="00767EF7">
        <w:rPr>
          <w:rFonts w:ascii="Times New Roman" w:hAnsi="Times New Roman"/>
          <w:sz w:val="22"/>
        </w:rPr>
        <w:t>Humanitarian demining equipment</w:t>
      </w:r>
    </w:p>
    <w:tbl>
      <w:tblPr>
        <w:tblW w:w="8518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"/>
        <w:gridCol w:w="5907"/>
        <w:gridCol w:w="1530"/>
      </w:tblGrid>
      <w:tr w:rsidR="00653BCA" w:rsidRPr="00CF684F" w14:paraId="2636598D" w14:textId="77777777" w:rsidTr="00D80AE9">
        <w:tc>
          <w:tcPr>
            <w:tcW w:w="1081" w:type="dxa"/>
            <w:shd w:val="clear" w:color="auto" w:fill="auto"/>
          </w:tcPr>
          <w:p w14:paraId="45E3DCBE" w14:textId="77777777" w:rsidR="00653BCA" w:rsidRPr="00D1647A" w:rsidRDefault="00653BCA" w:rsidP="00D80AE9">
            <w:pPr>
              <w:rPr>
                <w:rFonts w:ascii="Times New Roman" w:hAnsi="Times New Roman"/>
                <w:sz w:val="22"/>
                <w:szCs w:val="22"/>
              </w:rPr>
            </w:pPr>
            <w:r w:rsidRPr="00D1647A">
              <w:rPr>
                <w:rFonts w:ascii="Times New Roman" w:hAnsi="Times New Roman"/>
                <w:sz w:val="22"/>
                <w:szCs w:val="22"/>
              </w:rPr>
              <w:t xml:space="preserve">Item </w:t>
            </w:r>
            <w:r w:rsidRPr="00D1647A">
              <w:rPr>
                <w:rFonts w:ascii="Times New Roman" w:hAnsi="Times New Roman"/>
                <w:sz w:val="22"/>
                <w:szCs w:val="22"/>
                <w:lang w:val="en-US"/>
              </w:rPr>
              <w:t>n◦</w:t>
            </w:r>
          </w:p>
        </w:tc>
        <w:tc>
          <w:tcPr>
            <w:tcW w:w="5907" w:type="dxa"/>
            <w:shd w:val="clear" w:color="auto" w:fill="auto"/>
          </w:tcPr>
          <w:p w14:paraId="51983C04" w14:textId="77777777" w:rsidR="00653BCA" w:rsidRPr="00CF684F" w:rsidRDefault="00653BCA" w:rsidP="00D80AE9">
            <w:pPr>
              <w:rPr>
                <w:rFonts w:ascii="Times New Roman" w:hAnsi="Times New Roman"/>
                <w:sz w:val="22"/>
                <w:szCs w:val="22"/>
              </w:rPr>
            </w:pPr>
            <w:r w:rsidRPr="00CF684F">
              <w:rPr>
                <w:rFonts w:ascii="Times New Roman" w:hAnsi="Times New Roman"/>
                <w:sz w:val="22"/>
                <w:szCs w:val="22"/>
                <w:lang w:val="en-US"/>
              </w:rPr>
              <w:t>Item</w:t>
            </w:r>
          </w:p>
        </w:tc>
        <w:tc>
          <w:tcPr>
            <w:tcW w:w="1530" w:type="dxa"/>
            <w:shd w:val="clear" w:color="auto" w:fill="auto"/>
          </w:tcPr>
          <w:p w14:paraId="58433ADF" w14:textId="77777777" w:rsidR="00653BCA" w:rsidRPr="00CF684F" w:rsidRDefault="00653BCA" w:rsidP="00D80AE9">
            <w:pPr>
              <w:rPr>
                <w:rFonts w:ascii="Times New Roman" w:hAnsi="Times New Roman"/>
                <w:sz w:val="22"/>
                <w:szCs w:val="22"/>
              </w:rPr>
            </w:pPr>
            <w:r w:rsidRPr="00CF684F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</w:tr>
      <w:tr w:rsidR="00E90DCE" w:rsidRPr="00CF684F" w14:paraId="568135F5" w14:textId="77777777" w:rsidTr="009A7E21">
        <w:tc>
          <w:tcPr>
            <w:tcW w:w="1081" w:type="dxa"/>
            <w:shd w:val="clear" w:color="auto" w:fill="auto"/>
          </w:tcPr>
          <w:p w14:paraId="0E163637" w14:textId="77777777" w:rsidR="00E90DCE" w:rsidRPr="00D1647A" w:rsidRDefault="00E90DCE" w:rsidP="00E90D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07" w:type="dxa"/>
            <w:shd w:val="clear" w:color="auto" w:fill="auto"/>
          </w:tcPr>
          <w:p w14:paraId="052A941B" w14:textId="77777777" w:rsidR="00E90DCE" w:rsidRPr="00D1647A" w:rsidRDefault="00E90DCE" w:rsidP="00E90DC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86E16"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  <w:t xml:space="preserve">UXO contaminated location survey kit  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D808528" w14:textId="77777777" w:rsidR="00E90DCE" w:rsidRPr="00E90DCE" w:rsidRDefault="00E90DCE" w:rsidP="00E90DCE">
            <w:pPr>
              <w:spacing w:before="0" w:after="0"/>
              <w:jc w:val="center"/>
              <w:rPr>
                <w:rFonts w:ascii="Times New Roman" w:hAnsi="Times New Roman"/>
                <w:bCs/>
                <w:snapToGrid/>
                <w:color w:val="000000"/>
                <w:sz w:val="22"/>
                <w:szCs w:val="22"/>
                <w:lang w:eastAsia="en-GB"/>
              </w:rPr>
            </w:pPr>
            <w:r w:rsidRPr="00E90DCE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  <w:t>5 sets</w:t>
            </w:r>
          </w:p>
        </w:tc>
      </w:tr>
      <w:tr w:rsidR="00E90DCE" w:rsidRPr="00CF684F" w14:paraId="5459A43F" w14:textId="77777777" w:rsidTr="009A7E21">
        <w:tc>
          <w:tcPr>
            <w:tcW w:w="1081" w:type="dxa"/>
            <w:shd w:val="clear" w:color="auto" w:fill="auto"/>
          </w:tcPr>
          <w:p w14:paraId="35FFDD75" w14:textId="77777777" w:rsidR="00E90DCE" w:rsidRPr="00D1647A" w:rsidRDefault="00E90DCE" w:rsidP="00E90D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907" w:type="dxa"/>
            <w:shd w:val="clear" w:color="auto" w:fill="auto"/>
          </w:tcPr>
          <w:p w14:paraId="33DFA919" w14:textId="77777777" w:rsidR="00E90DCE" w:rsidRPr="00D1647A" w:rsidRDefault="00E90DCE" w:rsidP="00E90DC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67EF7"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  <w:t>Humanitarian Demining Kit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666E486" w14:textId="77777777" w:rsidR="00E90DCE" w:rsidRPr="00E90DCE" w:rsidRDefault="00E90DCE" w:rsidP="00E90DCE">
            <w:pPr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</w:pPr>
            <w:r w:rsidRPr="00E90DCE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  <w:t>25 sets</w:t>
            </w:r>
          </w:p>
        </w:tc>
      </w:tr>
      <w:tr w:rsidR="00E90DCE" w:rsidRPr="00CF684F" w14:paraId="302BBF35" w14:textId="77777777" w:rsidTr="009A7E21">
        <w:tc>
          <w:tcPr>
            <w:tcW w:w="1081" w:type="dxa"/>
            <w:shd w:val="clear" w:color="auto" w:fill="auto"/>
          </w:tcPr>
          <w:p w14:paraId="0DFEEE3D" w14:textId="77777777" w:rsidR="00E90DCE" w:rsidRDefault="00E90DCE" w:rsidP="00E90D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907" w:type="dxa"/>
            <w:shd w:val="clear" w:color="auto" w:fill="auto"/>
          </w:tcPr>
          <w:p w14:paraId="08065C7A" w14:textId="77777777" w:rsidR="00E90DCE" w:rsidRPr="00767EF7" w:rsidRDefault="00E90DCE" w:rsidP="00E90DC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</w:pPr>
            <w:r w:rsidRPr="00767EF7"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  <w:t>Metal detector (1m)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7165E47" w14:textId="77777777" w:rsidR="00E90DCE" w:rsidRPr="00E90DCE" w:rsidRDefault="00E90DCE" w:rsidP="00E90DCE">
            <w:pPr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</w:pPr>
            <w:r w:rsidRPr="00E90DCE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  <w:t>25 sets</w:t>
            </w:r>
          </w:p>
        </w:tc>
      </w:tr>
      <w:tr w:rsidR="00E90DCE" w:rsidRPr="00CF684F" w14:paraId="028CFBF4" w14:textId="77777777" w:rsidTr="009A7E21">
        <w:tc>
          <w:tcPr>
            <w:tcW w:w="1081" w:type="dxa"/>
            <w:shd w:val="clear" w:color="auto" w:fill="auto"/>
          </w:tcPr>
          <w:p w14:paraId="19532002" w14:textId="77777777" w:rsidR="00E90DCE" w:rsidRDefault="00E90DCE" w:rsidP="00E90D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907" w:type="dxa"/>
            <w:shd w:val="clear" w:color="auto" w:fill="auto"/>
          </w:tcPr>
          <w:p w14:paraId="24FFB8B5" w14:textId="086DD512" w:rsidR="00E90DCE" w:rsidRPr="00767EF7" w:rsidRDefault="00E90DCE" w:rsidP="00E90DC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</w:pPr>
            <w:r w:rsidRPr="00767EF7"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  <w:t>Metal detector</w:t>
            </w:r>
            <w:r w:rsidR="0093557A"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  <w:t xml:space="preserve"> (0,50m)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15DB247" w14:textId="77777777" w:rsidR="00E90DCE" w:rsidRPr="00E90DCE" w:rsidRDefault="00E90DCE" w:rsidP="00E90DCE">
            <w:pPr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</w:pPr>
            <w:r w:rsidRPr="00E90DCE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  <w:t>6 sets</w:t>
            </w:r>
          </w:p>
        </w:tc>
      </w:tr>
      <w:tr w:rsidR="00E90DCE" w:rsidRPr="00CF684F" w14:paraId="7943B58E" w14:textId="77777777" w:rsidTr="009A7E21">
        <w:tc>
          <w:tcPr>
            <w:tcW w:w="1081" w:type="dxa"/>
            <w:shd w:val="clear" w:color="auto" w:fill="auto"/>
          </w:tcPr>
          <w:p w14:paraId="75AA6EEB" w14:textId="77777777" w:rsidR="00E90DCE" w:rsidRDefault="00E90DCE" w:rsidP="00E90D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907" w:type="dxa"/>
            <w:shd w:val="clear" w:color="auto" w:fill="auto"/>
          </w:tcPr>
          <w:p w14:paraId="266E2A50" w14:textId="77777777" w:rsidR="00E90DCE" w:rsidRPr="00767EF7" w:rsidRDefault="00E90DCE" w:rsidP="00E90DC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</w:pPr>
            <w:r w:rsidRPr="00767EF7"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  <w:t>Non-magnetic tool kit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B5A10CF" w14:textId="77777777" w:rsidR="00E90DCE" w:rsidRPr="00E90DCE" w:rsidRDefault="00E90DCE" w:rsidP="00E90DCE">
            <w:pPr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</w:pPr>
            <w:r w:rsidRPr="00E90DCE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  <w:t>3 sets</w:t>
            </w:r>
          </w:p>
        </w:tc>
      </w:tr>
      <w:tr w:rsidR="00E90DCE" w:rsidRPr="00CF684F" w14:paraId="67CB7742" w14:textId="77777777" w:rsidTr="009A7E21">
        <w:tc>
          <w:tcPr>
            <w:tcW w:w="1081" w:type="dxa"/>
            <w:shd w:val="clear" w:color="auto" w:fill="auto"/>
          </w:tcPr>
          <w:p w14:paraId="3598F934" w14:textId="77777777" w:rsidR="00E90DCE" w:rsidRDefault="00E90DCE" w:rsidP="00E90D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907" w:type="dxa"/>
            <w:shd w:val="clear" w:color="auto" w:fill="auto"/>
          </w:tcPr>
          <w:p w14:paraId="489D1A07" w14:textId="77777777" w:rsidR="00E90DCE" w:rsidRPr="00767EF7" w:rsidRDefault="00E90DCE" w:rsidP="00E90DC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</w:pPr>
            <w:r w:rsidRPr="00767EF7"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  <w:t>A set of hand and engineering tools for general purposes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DFC6C16" w14:textId="77777777" w:rsidR="00E90DCE" w:rsidRPr="00E90DCE" w:rsidRDefault="00E90DCE" w:rsidP="00E90DCE">
            <w:pPr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</w:pPr>
            <w:r w:rsidRPr="00E90DCE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  <w:t>25 sets</w:t>
            </w:r>
          </w:p>
        </w:tc>
      </w:tr>
      <w:tr w:rsidR="00E90DCE" w:rsidRPr="00CF684F" w14:paraId="368C7C20" w14:textId="77777777" w:rsidTr="009A7E21">
        <w:tc>
          <w:tcPr>
            <w:tcW w:w="1081" w:type="dxa"/>
            <w:shd w:val="clear" w:color="auto" w:fill="auto"/>
          </w:tcPr>
          <w:p w14:paraId="03AB1511" w14:textId="77777777" w:rsidR="00E90DCE" w:rsidRDefault="00E90DCE" w:rsidP="00E90D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907" w:type="dxa"/>
            <w:shd w:val="clear" w:color="auto" w:fill="auto"/>
          </w:tcPr>
          <w:p w14:paraId="5553EAD7" w14:textId="77777777" w:rsidR="00E90DCE" w:rsidRPr="00767EF7" w:rsidRDefault="00E90DCE" w:rsidP="00E90DC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</w:pPr>
            <w:r w:rsidRPr="00767EF7"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  <w:t>Remote activation kit (NONEL)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F6526C1" w14:textId="77777777" w:rsidR="00E90DCE" w:rsidRPr="00E90DCE" w:rsidRDefault="00E90DCE" w:rsidP="00E90DCE">
            <w:pPr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</w:pPr>
            <w:r w:rsidRPr="00E90DCE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  <w:t>2 sets</w:t>
            </w:r>
          </w:p>
        </w:tc>
      </w:tr>
      <w:tr w:rsidR="00E90DCE" w:rsidRPr="00CF684F" w14:paraId="5554BD8F" w14:textId="77777777" w:rsidTr="009A7E21">
        <w:tc>
          <w:tcPr>
            <w:tcW w:w="1081" w:type="dxa"/>
            <w:shd w:val="clear" w:color="auto" w:fill="auto"/>
          </w:tcPr>
          <w:p w14:paraId="4682B270" w14:textId="77777777" w:rsidR="00E90DCE" w:rsidRDefault="00E90DCE" w:rsidP="00E90D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907" w:type="dxa"/>
            <w:shd w:val="clear" w:color="auto" w:fill="auto"/>
          </w:tcPr>
          <w:p w14:paraId="1F045239" w14:textId="77777777" w:rsidR="00E90DCE" w:rsidRPr="00767EF7" w:rsidRDefault="00E90DCE" w:rsidP="00E90DC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</w:pPr>
            <w:r w:rsidRPr="00767EF7"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  <w:t>Protective demining suit with helmet and visor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3D31EE4" w14:textId="77777777" w:rsidR="00E90DCE" w:rsidRPr="00E90DCE" w:rsidRDefault="00E90DCE" w:rsidP="00E90DCE">
            <w:pPr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</w:pPr>
            <w:r w:rsidRPr="00E90DCE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GB"/>
              </w:rPr>
              <w:t>25 sets</w:t>
            </w:r>
          </w:p>
        </w:tc>
      </w:tr>
    </w:tbl>
    <w:p w14:paraId="2EF901A6" w14:textId="77777777" w:rsidR="00653BCA" w:rsidRDefault="00653BCA" w:rsidP="00653BCA"/>
    <w:p w14:paraId="21C109F5" w14:textId="54979311" w:rsidR="00653BCA" w:rsidRDefault="00283E5A" w:rsidP="00653BCA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7A50A1">
        <w:rPr>
          <w:rFonts w:ascii="Times New Roman" w:hAnsi="Times New Roman"/>
          <w:sz w:val="22"/>
        </w:rPr>
        <w:t>to</w:t>
      </w:r>
      <w:r w:rsidRPr="00E82463">
        <w:rPr>
          <w:rFonts w:ascii="Times New Roman" w:hAnsi="Times New Roman"/>
          <w:sz w:val="22"/>
        </w:rPr>
        <w:t xml:space="preserve"> </w:t>
      </w:r>
      <w:r w:rsidRPr="007A50A1">
        <w:rPr>
          <w:rFonts w:ascii="Times New Roman" w:hAnsi="Times New Roman"/>
          <w:sz w:val="22"/>
        </w:rPr>
        <w:t>“Kasarna Aerodrom”, Jabučki put bb, 26000 Pančevo, Republic of Serbia</w:t>
      </w:r>
      <w:r>
        <w:rPr>
          <w:rFonts w:ascii="Times New Roman" w:hAnsi="Times New Roman"/>
          <w:sz w:val="22"/>
        </w:rPr>
        <w:t xml:space="preserve">, </w:t>
      </w:r>
      <w:r w:rsidRPr="00B41C1F">
        <w:rPr>
          <w:rFonts w:ascii="Times New Roman" w:hAnsi="Times New Roman"/>
          <w:sz w:val="22"/>
          <w:szCs w:val="22"/>
        </w:rPr>
        <w:t>indicated in the  Annex II + III:  Technical Specifications + Technical Offer</w:t>
      </w:r>
      <w:r>
        <w:rPr>
          <w:rFonts w:ascii="Times New Roman" w:hAnsi="Times New Roman"/>
          <w:sz w:val="22"/>
          <w:lang w:val="en-GB"/>
        </w:rPr>
        <w:t xml:space="preserve">, </w:t>
      </w:r>
      <w:r w:rsidR="00653BCA"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E90DCE">
        <w:rPr>
          <w:rFonts w:ascii="Times New Roman" w:hAnsi="Times New Roman"/>
          <w:sz w:val="22"/>
          <w:lang w:val="en-GB"/>
        </w:rPr>
        <w:t>180</w:t>
      </w:r>
      <w:r w:rsidR="00653BCA" w:rsidRPr="003316C5">
        <w:rPr>
          <w:rFonts w:ascii="Times New Roman" w:hAnsi="Times New Roman"/>
          <w:sz w:val="22"/>
          <w:lang w:val="en-GB"/>
        </w:rPr>
        <w:t xml:space="preserve"> days</w:t>
      </w:r>
      <w:r w:rsidR="00653BCA" w:rsidRPr="007B70EE">
        <w:rPr>
          <w:rFonts w:ascii="Times New Roman" w:hAnsi="Times New Roman"/>
          <w:sz w:val="22"/>
          <w:lang w:val="en-GB"/>
        </w:rPr>
        <w:t xml:space="preserve"> and the Incoterm applicable shall </w:t>
      </w:r>
      <w:r w:rsidR="00653BCA">
        <w:rPr>
          <w:rFonts w:ascii="Times New Roman" w:hAnsi="Times New Roman"/>
          <w:sz w:val="22"/>
          <w:lang w:val="en-GB"/>
        </w:rPr>
        <w:t xml:space="preserve">be </w:t>
      </w:r>
      <w:r w:rsidR="00653BCA" w:rsidRPr="003316C5">
        <w:rPr>
          <w:rFonts w:ascii="Times New Roman" w:hAnsi="Times New Roman"/>
          <w:sz w:val="22"/>
          <w:lang w:val="en-GB"/>
        </w:rPr>
        <w:t>DDP</w:t>
      </w:r>
      <w:r w:rsidR="00653BCA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="00653BCA" w:rsidRPr="00A940DC">
        <w:rPr>
          <w:rFonts w:ascii="Times New Roman" w:hAnsi="Times New Roman"/>
          <w:sz w:val="22"/>
          <w:lang w:val="en-GB"/>
        </w:rPr>
        <w:t>.</w:t>
      </w:r>
    </w:p>
    <w:p w14:paraId="05A7CEE1" w14:textId="77777777" w:rsidR="009B0CF1" w:rsidRPr="007B70EE" w:rsidRDefault="009B0CF1" w:rsidP="00653BCA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</w:t>
      </w:r>
      <w:r w:rsidR="00283E5A" w:rsidRPr="00283E5A">
        <w:rPr>
          <w:rFonts w:ascii="Times New Roman" w:hAnsi="Times New Roman"/>
          <w:sz w:val="22"/>
          <w:lang w:val="en-GB"/>
        </w:rPr>
        <w:t xml:space="preserve">270 </w:t>
      </w:r>
      <w:r w:rsidR="00653BCA" w:rsidRPr="00283E5A">
        <w:rPr>
          <w:rFonts w:ascii="Times New Roman" w:hAnsi="Times New Roman"/>
          <w:sz w:val="22"/>
          <w:lang w:val="en-GB"/>
        </w:rPr>
        <w:t xml:space="preserve">days </w:t>
      </w:r>
      <w:r w:rsidRPr="00283E5A">
        <w:rPr>
          <w:rFonts w:ascii="Times New Roman" w:hAnsi="Times New Roman"/>
          <w:sz w:val="22"/>
          <w:lang w:val="en-GB"/>
        </w:rPr>
        <w:t>from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653BCA">
        <w:rPr>
          <w:rFonts w:ascii="Times New Roman" w:hAnsi="Times New Roman"/>
          <w:sz w:val="22"/>
          <w:lang w:val="en-GB"/>
        </w:rPr>
        <w:t>the commencement date to the date for Provisional Acceptance</w:t>
      </w:r>
    </w:p>
    <w:p w14:paraId="11B83D2C" w14:textId="77777777" w:rsidR="004D2FD8" w:rsidRPr="009B30FB" w:rsidRDefault="004D2FD8" w:rsidP="00653BCA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640F73A2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FD405F6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43F58EBA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3E713FAD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19A49BFA" w14:textId="77777777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be</w:t>
      </w:r>
      <w:r w:rsidR="00653BCA">
        <w:rPr>
          <w:rFonts w:ascii="Times New Roman" w:hAnsi="Times New Roman"/>
          <w:sz w:val="22"/>
          <w:lang w:val="en-GB"/>
        </w:rPr>
        <w:t xml:space="preserve"> </w:t>
      </w:r>
      <w:r w:rsidR="001E684B" w:rsidRPr="00653BCA">
        <w:rPr>
          <w:rFonts w:ascii="Times New Roman" w:hAnsi="Times New Roman"/>
          <w:sz w:val="22"/>
          <w:lang w:val="en-GB"/>
        </w:rPr>
        <w:t xml:space="preserve">EUR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5B008E46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3F5F0612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3B78B6EF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10EB2DC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4BF07910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63613E2A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249ACBEB" w14:textId="07134E3A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including clarifications before the deadline for submission of </w:t>
      </w:r>
      <w:proofErr w:type="gramStart"/>
      <w:r w:rsidRPr="00A940DC">
        <w:rPr>
          <w:rFonts w:ascii="Times New Roman" w:hAnsi="Times New Roman"/>
          <w:sz w:val="22"/>
          <w:lang w:val="en-GB"/>
        </w:rPr>
        <w:t>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618DB71B" w14:textId="77777777" w:rsidR="00187253" w:rsidRPr="00653BCA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653BCA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653BCA">
        <w:rPr>
          <w:rFonts w:ascii="Times New Roman" w:hAnsi="Times New Roman"/>
          <w:sz w:val="22"/>
          <w:lang w:val="en-GB"/>
        </w:rPr>
        <w:t xml:space="preserve">the </w:t>
      </w:r>
      <w:r w:rsidRPr="00653BCA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653BCA">
        <w:rPr>
          <w:rFonts w:ascii="Times New Roman" w:hAnsi="Times New Roman"/>
          <w:sz w:val="22"/>
          <w:lang w:val="en-GB"/>
        </w:rPr>
        <w:t>)</w:t>
      </w:r>
      <w:r w:rsidRPr="00653BCA">
        <w:rPr>
          <w:rFonts w:ascii="Times New Roman" w:hAnsi="Times New Roman"/>
          <w:sz w:val="22"/>
          <w:lang w:val="en-GB"/>
        </w:rPr>
        <w:t>;</w:t>
      </w:r>
    </w:p>
    <w:p w14:paraId="14B6849E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390A53E7" w14:textId="77777777" w:rsidR="00B80DE8" w:rsidRPr="00653BCA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53BCA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53BCA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53BCA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53BCA">
        <w:rPr>
          <w:rFonts w:ascii="Times New Roman" w:hAnsi="Times New Roman"/>
          <w:sz w:val="22"/>
          <w:lang w:val="en-GB"/>
        </w:rPr>
        <w:t>)</w:t>
      </w:r>
      <w:r w:rsidR="00B80DE8" w:rsidRPr="00653BCA">
        <w:rPr>
          <w:rFonts w:ascii="Times New Roman" w:hAnsi="Times New Roman"/>
          <w:sz w:val="22"/>
          <w:lang w:val="en-GB"/>
        </w:rPr>
        <w:t>;</w:t>
      </w:r>
    </w:p>
    <w:p w14:paraId="5C4188BA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5927302B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4F6FD157" w14:textId="77777777" w:rsidR="00462120" w:rsidRPr="002E0CFE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="00283E5A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653BCA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0FBEC9C7" w14:textId="77777777"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 w:rsidR="00653BCA">
        <w:rPr>
          <w:rFonts w:ascii="Times New Roman" w:hAnsi="Times New Roman"/>
          <w:sz w:val="22"/>
          <w:szCs w:val="22"/>
        </w:rPr>
        <w:t xml:space="preserve"> </w:t>
      </w:r>
      <w:r w:rsidRPr="00653BCA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 w:rsidR="00653BCA">
        <w:rPr>
          <w:rFonts w:ascii="Times New Roman" w:hAnsi="Times New Roman"/>
          <w:sz w:val="22"/>
          <w:szCs w:val="22"/>
        </w:rPr>
        <w:t>.</w:t>
      </w:r>
    </w:p>
    <w:p w14:paraId="254FA299" w14:textId="77777777"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7B1D901C" w14:textId="77777777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BA739A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BA739A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BA739A">
        <w:rPr>
          <w:rFonts w:ascii="Times New Roman" w:hAnsi="Times New Roman"/>
          <w:sz w:val="22"/>
          <w:szCs w:val="22"/>
          <w:lang w:val="en-GB"/>
        </w:rPr>
        <w:t xml:space="preserve">hree </w:t>
      </w:r>
      <w:r w:rsidRPr="00BA739A">
        <w:rPr>
          <w:rFonts w:ascii="Times New Roman" w:hAnsi="Times New Roman"/>
          <w:sz w:val="22"/>
          <w:szCs w:val="22"/>
          <w:lang w:val="en-GB"/>
        </w:rPr>
        <w:t>originals</w:t>
      </w:r>
      <w:r w:rsidRPr="00BA739A">
        <w:rPr>
          <w:rFonts w:ascii="Times New Roman" w:hAnsi="Times New Roman"/>
          <w:sz w:val="22"/>
          <w:lang w:val="en-GB"/>
        </w:rPr>
        <w:t>:</w:t>
      </w:r>
      <w:r w:rsidRPr="00BA739A">
        <w:rPr>
          <w:rFonts w:ascii="Times New Roman" w:hAnsi="Times New Roman"/>
          <w:i/>
          <w:sz w:val="22"/>
          <w:lang w:val="en-GB"/>
        </w:rPr>
        <w:t xml:space="preserve"> </w:t>
      </w:r>
      <w:r w:rsidRPr="00BA739A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BA739A">
        <w:rPr>
          <w:rFonts w:ascii="Times New Roman" w:hAnsi="Times New Roman"/>
          <w:sz w:val="22"/>
          <w:lang w:val="en-GB"/>
        </w:rPr>
        <w:t>c</w:t>
      </w:r>
      <w:r w:rsidRPr="00BA739A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BA739A">
        <w:rPr>
          <w:rFonts w:ascii="Times New Roman" w:hAnsi="Times New Roman"/>
          <w:sz w:val="22"/>
          <w:lang w:val="en-GB"/>
        </w:rPr>
        <w:t>a</w:t>
      </w:r>
      <w:r w:rsidRPr="00BA739A">
        <w:rPr>
          <w:rFonts w:ascii="Times New Roman" w:hAnsi="Times New Roman"/>
          <w:sz w:val="22"/>
          <w:lang w:val="en-GB"/>
        </w:rPr>
        <w:t xml:space="preserve">uthority, one original being for the European Commission, and one original being for the </w:t>
      </w:r>
      <w:r w:rsidR="00531265" w:rsidRPr="00BA739A">
        <w:rPr>
          <w:rFonts w:ascii="Times New Roman" w:hAnsi="Times New Roman"/>
          <w:sz w:val="22"/>
          <w:lang w:val="en-GB"/>
        </w:rPr>
        <w:t>c</w:t>
      </w:r>
      <w:r w:rsidR="002D47E8" w:rsidRPr="00BA739A">
        <w:rPr>
          <w:rFonts w:ascii="Times New Roman" w:hAnsi="Times New Roman"/>
          <w:sz w:val="22"/>
          <w:lang w:val="en-GB"/>
        </w:rPr>
        <w:t>ontractor</w:t>
      </w:r>
      <w:r w:rsidRPr="00BA739A">
        <w:rPr>
          <w:rFonts w:ascii="Times New Roman" w:hAnsi="Times New Roman"/>
          <w:sz w:val="22"/>
          <w:lang w:val="en-GB"/>
        </w:rPr>
        <w:t>.</w:t>
      </w:r>
    </w:p>
    <w:p w14:paraId="382E7BC8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061B9F87" w14:textId="77777777" w:rsidTr="00514BE0">
        <w:trPr>
          <w:trHeight w:val="520"/>
        </w:trPr>
        <w:tc>
          <w:tcPr>
            <w:tcW w:w="4253" w:type="dxa"/>
            <w:gridSpan w:val="2"/>
          </w:tcPr>
          <w:p w14:paraId="6A4F7A00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060843BF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4E12DB67" w14:textId="77777777" w:rsidTr="00514BE0">
        <w:trPr>
          <w:cantSplit/>
          <w:trHeight w:val="555"/>
        </w:trPr>
        <w:tc>
          <w:tcPr>
            <w:tcW w:w="1985" w:type="dxa"/>
          </w:tcPr>
          <w:p w14:paraId="6CC3A6C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8E2FF7C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76FF903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0DB0AE14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5609CD3" w14:textId="77777777" w:rsidTr="00514BE0">
        <w:trPr>
          <w:cantSplit/>
          <w:trHeight w:val="577"/>
        </w:trPr>
        <w:tc>
          <w:tcPr>
            <w:tcW w:w="1985" w:type="dxa"/>
          </w:tcPr>
          <w:p w14:paraId="4477E9B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74DEF84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3EA7339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2453042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FD26F8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70E874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369AAAE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77C5ABE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8D8B64F" w14:textId="77777777" w:rsidTr="00514BE0">
        <w:trPr>
          <w:cantSplit/>
          <w:trHeight w:val="878"/>
        </w:trPr>
        <w:tc>
          <w:tcPr>
            <w:tcW w:w="1985" w:type="dxa"/>
          </w:tcPr>
          <w:p w14:paraId="166D37A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6FDA66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BE5FDAE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41420003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1C073A0D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5C4AB8B9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399D6D4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776B92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0A9DE0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FB718E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4E43C49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3F46727" w14:textId="77777777" w:rsidTr="00514BE0">
        <w:trPr>
          <w:cantSplit/>
          <w:trHeight w:val="428"/>
        </w:trPr>
        <w:tc>
          <w:tcPr>
            <w:tcW w:w="1985" w:type="dxa"/>
          </w:tcPr>
          <w:p w14:paraId="4CD6C10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B8ED15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026C24E9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09D0AFCD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25F504F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43CB8E9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32A543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39EEA9C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226028F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547D5" w14:textId="77777777" w:rsidR="008950E4" w:rsidRDefault="008950E4">
      <w:r>
        <w:separator/>
      </w:r>
    </w:p>
    <w:p w14:paraId="3FF1A473" w14:textId="77777777" w:rsidR="008950E4" w:rsidRDefault="008950E4"/>
  </w:endnote>
  <w:endnote w:type="continuationSeparator" w:id="0">
    <w:p w14:paraId="6206AF31" w14:textId="77777777" w:rsidR="008950E4" w:rsidRDefault="008950E4">
      <w:r>
        <w:continuationSeparator/>
      </w:r>
    </w:p>
    <w:p w14:paraId="357BCD55" w14:textId="77777777" w:rsidR="008950E4" w:rsidRDefault="008950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06FAD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782C9" w14:textId="0FB71C2E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C03880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C03880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11E13BC7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9753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142B48B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A97FB" w14:textId="77777777" w:rsidR="008950E4" w:rsidRDefault="008950E4" w:rsidP="008056C4">
      <w:pPr>
        <w:spacing w:before="0" w:after="0"/>
      </w:pPr>
      <w:r>
        <w:separator/>
      </w:r>
    </w:p>
  </w:footnote>
  <w:footnote w:type="continuationSeparator" w:id="0">
    <w:p w14:paraId="21C2AB68" w14:textId="77777777" w:rsidR="008950E4" w:rsidRDefault="008950E4">
      <w:r>
        <w:continuationSeparator/>
      </w:r>
    </w:p>
    <w:p w14:paraId="443685A1" w14:textId="77777777" w:rsidR="008950E4" w:rsidRDefault="008950E4"/>
  </w:footnote>
  <w:footnote w:id="1">
    <w:p w14:paraId="554032B9" w14:textId="77777777" w:rsidR="00653BCA" w:rsidRPr="00571A21" w:rsidRDefault="00653BCA" w:rsidP="00653BCA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 Where the contracting party is an individual.</w:t>
      </w:r>
    </w:p>
  </w:footnote>
  <w:footnote w:id="2">
    <w:p w14:paraId="1AE6D6AD" w14:textId="77777777" w:rsidR="00653BCA" w:rsidRPr="00571A21" w:rsidRDefault="00653BCA" w:rsidP="00653BCA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 Where applicable. For individuals, mention their ID card or passport or equivalent document – number.</w:t>
      </w:r>
    </w:p>
  </w:footnote>
  <w:footnote w:id="3">
    <w:p w14:paraId="24C65ACE" w14:textId="77777777" w:rsidR="00653BCA" w:rsidRPr="00571A21" w:rsidRDefault="00653BCA" w:rsidP="00653BCA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 Except where the contracting party is not VAT registered.</w:t>
      </w:r>
    </w:p>
  </w:footnote>
  <w:footnote w:id="4">
    <w:p w14:paraId="68964DE6" w14:textId="77777777" w:rsidR="00653BCA" w:rsidRPr="00C675D1" w:rsidRDefault="00653BCA" w:rsidP="00653BCA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C675D1">
        <w:rPr>
          <w:lang w:val="en-GB"/>
        </w:rPr>
        <w:tab/>
      </w:r>
      <w:r w:rsidRPr="008A1D50">
        <w:rPr>
          <w:lang w:val="en-GB"/>
        </w:rPr>
        <w:t>DDP (Delivered Duty Paid)</w:t>
      </w:r>
      <w:r w:rsidRPr="008A1D50">
        <w:rPr>
          <w:sz w:val="22"/>
          <w:szCs w:val="22"/>
          <w:lang w:val="en-GB"/>
        </w:rPr>
        <w:t xml:space="preserve"> </w:t>
      </w:r>
      <w:r w:rsidRPr="008A1D50">
        <w:rPr>
          <w:lang w:val="en-GB"/>
        </w:rPr>
        <w:t>-</w:t>
      </w:r>
      <w:r w:rsidRPr="00C675D1">
        <w:rPr>
          <w:lang w:val="en-GB"/>
        </w:rPr>
        <w:t xml:space="preserve"> Incoterms 20</w:t>
      </w:r>
      <w:r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9681D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3E66C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12099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3060"/>
    <w:rsid w:val="000F5F5F"/>
    <w:rsid w:val="0010291A"/>
    <w:rsid w:val="00103348"/>
    <w:rsid w:val="00103913"/>
    <w:rsid w:val="00111B28"/>
    <w:rsid w:val="001139A1"/>
    <w:rsid w:val="00113B66"/>
    <w:rsid w:val="00115916"/>
    <w:rsid w:val="00126FC3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83E5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E0CFE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A752A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53BCA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D3A67"/>
    <w:rsid w:val="006E56FD"/>
    <w:rsid w:val="006E6880"/>
    <w:rsid w:val="006E7A01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0306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950E4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57A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2F2E"/>
    <w:rsid w:val="009F63A1"/>
    <w:rsid w:val="009F7D25"/>
    <w:rsid w:val="00A018D1"/>
    <w:rsid w:val="00A039CA"/>
    <w:rsid w:val="00A05FAD"/>
    <w:rsid w:val="00A512C9"/>
    <w:rsid w:val="00A539E4"/>
    <w:rsid w:val="00A57508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A739A"/>
    <w:rsid w:val="00BB1D3F"/>
    <w:rsid w:val="00BB2161"/>
    <w:rsid w:val="00BB3477"/>
    <w:rsid w:val="00BB56D3"/>
    <w:rsid w:val="00BC6222"/>
    <w:rsid w:val="00BC7B0D"/>
    <w:rsid w:val="00BD201F"/>
    <w:rsid w:val="00BD3371"/>
    <w:rsid w:val="00C03880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CCD"/>
    <w:rsid w:val="00CB3FCA"/>
    <w:rsid w:val="00CC7DE2"/>
    <w:rsid w:val="00CD243E"/>
    <w:rsid w:val="00CD7F25"/>
    <w:rsid w:val="00CE3A0C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32CE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DCE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A675C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932B1D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ing2Char">
    <w:name w:val="Heading 2 Char"/>
    <w:link w:val="Heading2"/>
    <w:locked/>
    <w:rsid w:val="00653BCA"/>
    <w:rPr>
      <w:rFonts w:ascii="Arial" w:hAnsi="Arial"/>
      <w:snapToGrid w:val="0"/>
      <w:lang w:val="fr-BE" w:eastAsia="en-US"/>
    </w:rPr>
  </w:style>
  <w:style w:type="character" w:styleId="CommentReference">
    <w:name w:val="annotation reference"/>
    <w:basedOn w:val="DefaultParagraphFont"/>
    <w:rsid w:val="00A575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57508"/>
  </w:style>
  <w:style w:type="character" w:customStyle="1" w:styleId="CommentTextChar">
    <w:name w:val="Comment Text Char"/>
    <w:basedOn w:val="DefaultParagraphFont"/>
    <w:link w:val="CommentText"/>
    <w:rsid w:val="00A57508"/>
    <w:rPr>
      <w:rFonts w:ascii="Arial" w:hAnsi="Arial"/>
      <w:snapToGrid w:val="0"/>
      <w:lang w:val="sv-SE"/>
    </w:rPr>
  </w:style>
  <w:style w:type="paragraph" w:styleId="CommentSubject">
    <w:name w:val="annotation subject"/>
    <w:basedOn w:val="CommentText"/>
    <w:next w:val="CommentText"/>
    <w:link w:val="CommentSubjectChar"/>
    <w:rsid w:val="00A575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57508"/>
    <w:rPr>
      <w:rFonts w:ascii="Arial" w:hAnsi="Arial"/>
      <w:b/>
      <w:bCs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C2C003-96BA-4CA4-B1F7-96D5B165C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4197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Jovana Jovčić</cp:lastModifiedBy>
  <cp:revision>3</cp:revision>
  <cp:lastPrinted>2012-10-22T09:58:00Z</cp:lastPrinted>
  <dcterms:created xsi:type="dcterms:W3CDTF">2023-06-28T10:23:00Z</dcterms:created>
  <dcterms:modified xsi:type="dcterms:W3CDTF">2023-07-18T10:47:00Z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