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FF2367">
        <w:rPr>
          <w:rFonts w:ascii="Times New Roman" w:hAnsi="Times New Roman"/>
          <w:smallCaps/>
          <w:sz w:val="28"/>
          <w:szCs w:val="28"/>
        </w:rPr>
        <w:t xml:space="preserve">: </w:t>
      </w:r>
      <w:r w:rsidR="00FF2367">
        <w:rPr>
          <w:rFonts w:ascii="Times New Roman" w:hAnsi="Times New Roman"/>
          <w:sz w:val="28"/>
          <w:szCs w:val="28"/>
        </w:rPr>
        <w:t>48-00-96/2022-28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244ABE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244ABE">
        <w:rPr>
          <w:rFonts w:ascii="Times New Roman" w:hAnsi="Times New Roman"/>
          <w:b/>
          <w:smallCaps/>
          <w:sz w:val="28"/>
          <w:lang w:val="en-GB"/>
        </w:rPr>
        <w:t>g</w:t>
      </w:r>
      <w:r w:rsidRPr="00244AB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244ABE">
        <w:rPr>
          <w:rFonts w:ascii="Times New Roman" w:hAnsi="Times New Roman"/>
          <w:b/>
          <w:smallCaps/>
          <w:sz w:val="28"/>
          <w:lang w:val="en-GB"/>
        </w:rPr>
        <w:t>b</w:t>
      </w:r>
      <w:r w:rsidRPr="00244AB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244ABE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:rsidR="00AB471B" w:rsidRPr="009B30FB" w:rsidRDefault="00244AB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244ABE">
        <w:rPr>
          <w:rFonts w:ascii="Times New Roman" w:hAnsi="Times New Roman"/>
          <w:sz w:val="22"/>
          <w:szCs w:val="22"/>
          <w:lang w:val="en-GB"/>
        </w:rPr>
        <w:t>The Government of the Republic of Serbia, represented by the Ministry of Finance, Department for Contracting and Financing of EU Funded Programmes (CFCU), Sremska 3-5 St, 11000 Belgrade</w:t>
      </w:r>
      <w:r>
        <w:rPr>
          <w:rFonts w:ascii="Times New Roman" w:hAnsi="Times New Roman"/>
          <w:sz w:val="22"/>
          <w:szCs w:val="22"/>
          <w:lang w:val="en-GB"/>
        </w:rPr>
        <w:t>,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C76A2E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C76A2E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244ABE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244ABE">
        <w:rPr>
          <w:rFonts w:ascii="Times New Roman" w:hAnsi="Times New Roman"/>
          <w:sz w:val="22"/>
          <w:szCs w:val="22"/>
          <w:lang w:val="en-GB"/>
        </w:rPr>
        <w:t>,</w:t>
      </w:r>
    </w:p>
    <w:p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C76A2E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CD243E" w:rsidRPr="00244ABE" w:rsidRDefault="004D2FD8" w:rsidP="00244ABE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244ABE" w:rsidRDefault="00244AB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CONTRACT TITLE</w:t>
      </w:r>
    </w:p>
    <w:p w:rsidR="004D2FD8" w:rsidRPr="007B70EE" w:rsidRDefault="00244AB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244ABE">
        <w:rPr>
          <w:rFonts w:ascii="Times New Roman" w:hAnsi="Times New Roman"/>
          <w:b/>
          <w:sz w:val="28"/>
          <w:lang w:val="en-GB"/>
        </w:rPr>
        <w:t>Supporting control monitoring and eradication of rabies in wild animals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E804A4">
        <w:rPr>
          <w:rFonts w:ascii="Times New Roman" w:hAnsi="Times New Roman"/>
          <w:sz w:val="22"/>
          <w:lang w:val="en-GB"/>
        </w:rPr>
        <w:t>NEAR/BEG/2023/EA-OP/0064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244ABE" w:rsidRPr="003A4EB0" w:rsidRDefault="00244ABE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244ABE">
      <w:pPr>
        <w:numPr>
          <w:ilvl w:val="1"/>
          <w:numId w:val="40"/>
        </w:num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244ABE">
        <w:rPr>
          <w:rFonts w:ascii="Times New Roman" w:hAnsi="Times New Roman"/>
          <w:sz w:val="22"/>
          <w:lang w:val="en-GB"/>
        </w:rPr>
        <w:t xml:space="preserve"> </w:t>
      </w:r>
      <w:r w:rsidR="00244ABE" w:rsidRPr="00244ABE">
        <w:rPr>
          <w:rFonts w:ascii="Times New Roman" w:hAnsi="Times New Roman"/>
          <w:sz w:val="22"/>
          <w:lang w:val="en-GB"/>
        </w:rPr>
        <w:t>supply, delivery, storage and transport (including aerial distribution for rabies vaccines) of the following supplies</w:t>
      </w:r>
      <w:r w:rsidR="00244ABE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pPr w:leftFromText="180" w:rightFromText="180" w:vertAnchor="text" w:horzAnchor="margin" w:tblpXSpec="right" w:tblpY="89"/>
        <w:tblW w:w="8208" w:type="dxa"/>
        <w:tblLayout w:type="fixed"/>
        <w:tblLook w:val="0000" w:firstRow="0" w:lastRow="0" w:firstColumn="0" w:lastColumn="0" w:noHBand="0" w:noVBand="0"/>
      </w:tblPr>
      <w:tblGrid>
        <w:gridCol w:w="959"/>
        <w:gridCol w:w="5989"/>
        <w:gridCol w:w="1260"/>
      </w:tblGrid>
      <w:tr w:rsidR="00244ABE" w:rsidRPr="00DA072A" w:rsidTr="005C4740">
        <w:trPr>
          <w:trHeight w:val="5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B3AFE">
              <w:rPr>
                <w:rFonts w:ascii="Times New Roman" w:hAnsi="Times New Roman"/>
                <w:bCs/>
                <w:sz w:val="22"/>
                <w:szCs w:val="22"/>
              </w:rPr>
              <w:t>Item nº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B3AFE">
              <w:rPr>
                <w:rFonts w:ascii="Times New Roman" w:hAnsi="Times New Roman"/>
                <w:bCs/>
                <w:sz w:val="22"/>
                <w:szCs w:val="22"/>
              </w:rPr>
              <w:t>Item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proofErr w:type="spellStart"/>
            <w:r w:rsidRPr="003B3AFE">
              <w:rPr>
                <w:rFonts w:ascii="Times New Roman" w:hAnsi="Times New Roman"/>
                <w:bCs/>
                <w:sz w:val="22"/>
                <w:szCs w:val="22"/>
              </w:rPr>
              <w:t>Quantity</w:t>
            </w:r>
            <w:proofErr w:type="spellEnd"/>
          </w:p>
        </w:tc>
      </w:tr>
      <w:tr w:rsidR="00244ABE" w:rsidRPr="00DA072A" w:rsidTr="005C4740">
        <w:trPr>
          <w:trHeight w:val="2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 w:rsidRPr="003B3AFE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1.1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both"/>
              <w:rPr>
                <w:rFonts w:ascii="Times New Roman" w:hAnsi="Times New Roman"/>
                <w:color w:val="00B050"/>
                <w:sz w:val="22"/>
                <w:szCs w:val="22"/>
                <w:lang w:val="en-US"/>
              </w:rPr>
            </w:pPr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Rabies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Bait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for the oral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immunisation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red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foxes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) for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first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campaign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 w:rsidRPr="009B7D01">
              <w:rPr>
                <w:rFonts w:ascii="Times New Roman" w:hAnsi="Times New Roman"/>
                <w:sz w:val="22"/>
                <w:szCs w:val="22"/>
                <w:lang w:val="en-US"/>
              </w:rPr>
              <w:t>1.364.700</w:t>
            </w:r>
          </w:p>
        </w:tc>
      </w:tr>
      <w:tr w:rsidR="00244ABE" w:rsidRPr="00DA072A" w:rsidTr="005C4740">
        <w:trPr>
          <w:trHeight w:val="2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 w:rsidRPr="003B3AFE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lastRenderedPageBreak/>
              <w:t>1.2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both"/>
              <w:rPr>
                <w:rFonts w:ascii="Times New Roman" w:hAnsi="Times New Roman"/>
                <w:color w:val="00B050"/>
                <w:sz w:val="22"/>
                <w:szCs w:val="22"/>
                <w:lang w:val="en-US"/>
              </w:rPr>
            </w:pPr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Rabies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Bait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for the oral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immunisation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red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foxes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>) for 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econd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campaign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 w:rsidRPr="009B7D01">
              <w:rPr>
                <w:rFonts w:ascii="Times New Roman" w:hAnsi="Times New Roman"/>
                <w:sz w:val="22"/>
                <w:szCs w:val="22"/>
                <w:lang w:val="en-US"/>
              </w:rPr>
              <w:t>1.364.700</w:t>
            </w:r>
          </w:p>
        </w:tc>
      </w:tr>
      <w:tr w:rsidR="00244ABE" w:rsidRPr="00D40998" w:rsidTr="005C4740">
        <w:trPr>
          <w:trHeight w:val="8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 w:rsidRPr="003B3AFE"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1.3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both"/>
              <w:rPr>
                <w:rFonts w:ascii="Times New Roman" w:hAnsi="Times New Roman"/>
                <w:color w:val="00B050"/>
                <w:sz w:val="22"/>
                <w:szCs w:val="22"/>
                <w:lang w:val="en-US"/>
              </w:rPr>
            </w:pPr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Rabies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Bait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for the oral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immunisation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red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foxes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) for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third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campaign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 w:rsidRPr="009B7D01">
              <w:rPr>
                <w:rFonts w:ascii="Times New Roman" w:hAnsi="Times New Roman"/>
                <w:sz w:val="22"/>
                <w:szCs w:val="22"/>
                <w:lang w:val="en-US"/>
              </w:rPr>
              <w:t>1.364.700</w:t>
            </w:r>
          </w:p>
        </w:tc>
      </w:tr>
      <w:tr w:rsidR="00244ABE" w:rsidRPr="00D40998" w:rsidTr="005C4740">
        <w:trPr>
          <w:trHeight w:val="8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en-US"/>
              </w:rPr>
              <w:t>1.4</w:t>
            </w:r>
          </w:p>
        </w:tc>
        <w:tc>
          <w:tcPr>
            <w:tcW w:w="5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ABE" w:rsidRPr="003B3AFE" w:rsidRDefault="00244ABE" w:rsidP="005C4740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Rabies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>Bait</w:t>
            </w:r>
            <w:proofErr w:type="spellEnd"/>
            <w:r w:rsidRPr="003B3AFE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Vaccine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for the oral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immunisation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of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red </w:t>
            </w:r>
            <w:proofErr w:type="spellStart"/>
            <w:r w:rsidRPr="003B3AFE">
              <w:rPr>
                <w:rFonts w:ascii="Times New Roman" w:hAnsi="Times New Roman"/>
                <w:sz w:val="22"/>
                <w:szCs w:val="22"/>
              </w:rPr>
              <w:t>foxes</w:t>
            </w:r>
            <w:proofErr w:type="spellEnd"/>
            <w:r w:rsidRPr="003B3AFE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vulpes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) for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fourth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campaign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ABE" w:rsidRPr="003B3AFE" w:rsidRDefault="00244ABE" w:rsidP="005C474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B7D01">
              <w:rPr>
                <w:rFonts w:ascii="Times New Roman" w:hAnsi="Times New Roman"/>
                <w:sz w:val="22"/>
                <w:szCs w:val="22"/>
                <w:lang w:val="en-US"/>
              </w:rPr>
              <w:t>1.364.700</w:t>
            </w:r>
          </w:p>
        </w:tc>
      </w:tr>
    </w:tbl>
    <w:p w:rsidR="004D2FD8" w:rsidRPr="004F1F8C" w:rsidRDefault="004D2FD8" w:rsidP="00244ABE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:rsidR="00244ABE" w:rsidRPr="00244ABE" w:rsidRDefault="00244ABE" w:rsidP="00244AB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244ABE">
        <w:rPr>
          <w:rFonts w:ascii="Times New Roman" w:hAnsi="Times New Roman"/>
          <w:sz w:val="22"/>
          <w:lang w:val="en-GB"/>
        </w:rPr>
        <w:t>in one lot, and the total planned number of baits is 1.364.700 per each campaign, in accordance with Distribution list defined in section 1.4 of Annex II+III (Technical Specifications + Technical Offer), DDP</w:t>
      </w:r>
      <w:r w:rsidR="001B3C44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1B3C44" w:rsidRPr="00A940DC">
        <w:rPr>
          <w:rFonts w:ascii="Times New Roman" w:hAnsi="Times New Roman"/>
          <w:sz w:val="22"/>
          <w:lang w:val="en-GB"/>
        </w:rPr>
        <w:t>.</w:t>
      </w:r>
      <w:r w:rsidRPr="00244ABE">
        <w:rPr>
          <w:rFonts w:ascii="Times New Roman" w:hAnsi="Times New Roman"/>
          <w:sz w:val="22"/>
          <w:lang w:val="en-GB"/>
        </w:rPr>
        <w:t xml:space="preserve"> Average density of vaccine baits in 23 districts will be 18 per km2 and in 2 districts will be 20 per km</w:t>
      </w:r>
      <w:r w:rsidRPr="003043BD">
        <w:rPr>
          <w:rFonts w:ascii="Times New Roman" w:hAnsi="Times New Roman"/>
          <w:sz w:val="22"/>
          <w:vertAlign w:val="superscript"/>
          <w:lang w:val="en-GB"/>
        </w:rPr>
        <w:t>2</w:t>
      </w:r>
      <w:r w:rsidRPr="00244ABE">
        <w:rPr>
          <w:rFonts w:ascii="Times New Roman" w:hAnsi="Times New Roman"/>
          <w:sz w:val="22"/>
          <w:lang w:val="en-GB"/>
        </w:rPr>
        <w:t>.</w:t>
      </w:r>
    </w:p>
    <w:p w:rsidR="00244ABE" w:rsidRPr="00244ABE" w:rsidRDefault="00244ABE" w:rsidP="00244AB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244ABE">
        <w:rPr>
          <w:rFonts w:ascii="Times New Roman" w:hAnsi="Times New Roman"/>
          <w:sz w:val="22"/>
          <w:lang w:val="en-GB"/>
        </w:rPr>
        <w:t>The territory fo</w:t>
      </w:r>
      <w:r w:rsidR="003043BD">
        <w:rPr>
          <w:rFonts w:ascii="Times New Roman" w:hAnsi="Times New Roman"/>
          <w:sz w:val="22"/>
          <w:lang w:val="en-GB"/>
        </w:rPr>
        <w:t>r vaccination shall be the</w:t>
      </w:r>
      <w:r w:rsidRPr="00244ABE">
        <w:rPr>
          <w:rFonts w:ascii="Times New Roman" w:hAnsi="Times New Roman"/>
          <w:sz w:val="22"/>
          <w:lang w:val="en-GB"/>
        </w:rPr>
        <w:t xml:space="preserve"> territory of Republic of Serbia excluding the urban settlements, main roads and water </w:t>
      </w:r>
      <w:r w:rsidR="003043BD">
        <w:rPr>
          <w:rFonts w:ascii="Times New Roman" w:hAnsi="Times New Roman"/>
          <w:sz w:val="22"/>
          <w:lang w:val="en-GB"/>
        </w:rPr>
        <w:t>areas. Total area is 78.998 km</w:t>
      </w:r>
      <w:r w:rsidR="003043BD" w:rsidRPr="003043BD">
        <w:rPr>
          <w:rFonts w:ascii="Times New Roman" w:hAnsi="Times New Roman"/>
          <w:sz w:val="22"/>
          <w:vertAlign w:val="superscript"/>
          <w:lang w:val="en-GB"/>
        </w:rPr>
        <w:t>2</w:t>
      </w:r>
      <w:r w:rsidR="003043BD">
        <w:rPr>
          <w:rFonts w:ascii="Times New Roman" w:hAnsi="Times New Roman"/>
          <w:sz w:val="22"/>
          <w:lang w:val="en-GB"/>
        </w:rPr>
        <w:t xml:space="preserve"> and</w:t>
      </w:r>
      <w:r w:rsidRPr="00244ABE">
        <w:rPr>
          <w:rFonts w:ascii="Times New Roman" w:hAnsi="Times New Roman"/>
          <w:sz w:val="22"/>
          <w:lang w:val="en-GB"/>
        </w:rPr>
        <w:t xml:space="preserve"> </w:t>
      </w:r>
      <w:r w:rsidR="003043BD">
        <w:rPr>
          <w:rFonts w:ascii="Times New Roman" w:hAnsi="Times New Roman"/>
          <w:sz w:val="22"/>
          <w:lang w:val="en-GB"/>
        </w:rPr>
        <w:t>a</w:t>
      </w:r>
      <w:r w:rsidRPr="00244ABE">
        <w:rPr>
          <w:rFonts w:ascii="Times New Roman" w:hAnsi="Times New Roman"/>
          <w:sz w:val="22"/>
          <w:lang w:val="en-GB"/>
        </w:rPr>
        <w:t>rea designated for vaccination is approximately 75.210 km</w:t>
      </w:r>
      <w:r w:rsidRPr="003043BD">
        <w:rPr>
          <w:rFonts w:ascii="Times New Roman" w:hAnsi="Times New Roman"/>
          <w:sz w:val="22"/>
          <w:vertAlign w:val="superscript"/>
          <w:lang w:val="en-GB"/>
        </w:rPr>
        <w:t>2</w:t>
      </w:r>
      <w:r w:rsidRPr="00244ABE">
        <w:rPr>
          <w:rFonts w:ascii="Times New Roman" w:hAnsi="Times New Roman"/>
          <w:sz w:val="22"/>
          <w:lang w:val="en-GB"/>
        </w:rPr>
        <w:t>.</w:t>
      </w:r>
    </w:p>
    <w:p w:rsidR="009B0CF1" w:rsidRPr="007B70EE" w:rsidRDefault="00244ABE" w:rsidP="00244AB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244ABE">
        <w:rPr>
          <w:rFonts w:ascii="Times New Roman" w:hAnsi="Times New Roman"/>
          <w:sz w:val="22"/>
          <w:lang w:val="en-GB"/>
        </w:rPr>
        <w:t xml:space="preserve">The implementation period is </w:t>
      </w:r>
      <w:r w:rsidR="008B7E0B">
        <w:rPr>
          <w:rFonts w:ascii="Times New Roman" w:hAnsi="Times New Roman"/>
          <w:sz w:val="22"/>
          <w:lang w:val="en-GB"/>
        </w:rPr>
        <w:t>25</w:t>
      </w:r>
      <w:bookmarkStart w:id="2" w:name="_GoBack"/>
      <w:bookmarkEnd w:id="2"/>
      <w:r w:rsidRPr="00610BFB">
        <w:rPr>
          <w:rFonts w:ascii="Times New Roman" w:hAnsi="Times New Roman"/>
          <w:sz w:val="22"/>
          <w:lang w:val="en-GB"/>
        </w:rPr>
        <w:t xml:space="preserve"> months</w:t>
      </w:r>
      <w:r w:rsidRPr="00244ABE">
        <w:rPr>
          <w:rFonts w:ascii="Times New Roman" w:hAnsi="Times New Roman"/>
          <w:sz w:val="22"/>
          <w:lang w:val="en-GB"/>
        </w:rPr>
        <w:t xml:space="preserve"> from the commencement date until the provisional acceptance.</w:t>
      </w:r>
    </w:p>
    <w:p w:rsidR="004D2FD8" w:rsidRPr="009B30FB" w:rsidRDefault="004D2FD8" w:rsidP="008436B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8436B7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8436B7">
        <w:rPr>
          <w:rFonts w:ascii="Times New Roman" w:hAnsi="Times New Roman"/>
          <w:sz w:val="22"/>
          <w:lang w:val="en-GB"/>
        </w:rPr>
        <w:t>&gt;.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8436B7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8436B7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8436B7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8436B7">
        <w:rPr>
          <w:rFonts w:ascii="Times New Roman" w:hAnsi="Times New Roman"/>
          <w:sz w:val="22"/>
          <w:lang w:val="en-GB"/>
        </w:rPr>
        <w:t xml:space="preserve">the </w:t>
      </w:r>
      <w:r w:rsidRPr="008436B7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8436B7">
        <w:rPr>
          <w:rFonts w:ascii="Times New Roman" w:hAnsi="Times New Roman"/>
          <w:sz w:val="22"/>
          <w:lang w:val="en-GB"/>
        </w:rPr>
        <w:t>)</w:t>
      </w:r>
      <w:r w:rsidRPr="008436B7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8436B7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8436B7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8436B7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8436B7">
        <w:rPr>
          <w:rFonts w:ascii="Times New Roman" w:hAnsi="Times New Roman"/>
          <w:sz w:val="22"/>
          <w:lang w:val="en-GB"/>
        </w:rPr>
        <w:t xml:space="preserve"> (Annex V</w:t>
      </w:r>
      <w:r w:rsidR="00216F0D" w:rsidRPr="008436B7">
        <w:rPr>
          <w:rFonts w:ascii="Times New Roman" w:hAnsi="Times New Roman"/>
          <w:sz w:val="22"/>
          <w:lang w:val="en-GB"/>
        </w:rPr>
        <w:t>)</w:t>
      </w:r>
      <w:r w:rsidR="00B80DE8" w:rsidRPr="008436B7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462120" w:rsidRPr="00A324C4" w:rsidRDefault="00C76F63" w:rsidP="00A324C4">
      <w:pPr>
        <w:spacing w:after="0"/>
        <w:ind w:left="1276" w:hanging="1276"/>
        <w:outlineLvl w:val="0"/>
        <w:rPr>
          <w:rStyle w:val="Hyperlink"/>
          <w:rFonts w:ascii="Times New Roman" w:hAnsi="Times New Roman"/>
          <w:b/>
          <w:color w:val="auto"/>
          <w:sz w:val="24"/>
          <w:szCs w:val="24"/>
          <w:u w:val="none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A324C4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</w:t>
      </w:r>
      <w:proofErr w:type="spellStart"/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purpose</w:t>
      </w:r>
      <w:proofErr w:type="spellEnd"/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proofErr w:type="spellStart"/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proofErr w:type="spellEnd"/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Article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44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of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the </w:t>
      </w:r>
      <w:r w:rsidRPr="00A324C4">
        <w:rPr>
          <w:rFonts w:ascii="Times New Roman" w:hAnsi="Times New Roman"/>
          <w:sz w:val="22"/>
          <w:szCs w:val="22"/>
        </w:rPr>
        <w:t xml:space="preserve">general </w:t>
      </w:r>
      <w:proofErr w:type="spellStart"/>
      <w:r w:rsidRPr="00A324C4">
        <w:rPr>
          <w:rFonts w:ascii="Times New Roman" w:hAnsi="Times New Roman"/>
          <w:sz w:val="22"/>
          <w:szCs w:val="22"/>
        </w:rPr>
        <w:t>conditions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, for the part </w:t>
      </w:r>
      <w:proofErr w:type="spellStart"/>
      <w:r w:rsidRPr="00A324C4">
        <w:rPr>
          <w:rFonts w:ascii="Times New Roman" w:hAnsi="Times New Roman"/>
          <w:sz w:val="22"/>
          <w:szCs w:val="22"/>
        </w:rPr>
        <w:t>of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the data transferred by the </w:t>
      </w:r>
      <w:proofErr w:type="spellStart"/>
      <w:r w:rsidRPr="00A324C4">
        <w:rPr>
          <w:rFonts w:ascii="Times New Roman" w:hAnsi="Times New Roman"/>
          <w:sz w:val="22"/>
          <w:szCs w:val="22"/>
        </w:rPr>
        <w:t>contracting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authority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to the </w:t>
      </w:r>
      <w:proofErr w:type="spellStart"/>
      <w:r w:rsidRPr="00A324C4">
        <w:rPr>
          <w:rFonts w:ascii="Times New Roman" w:hAnsi="Times New Roman"/>
          <w:sz w:val="22"/>
          <w:szCs w:val="22"/>
        </w:rPr>
        <w:t>European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A324C4">
        <w:rPr>
          <w:rFonts w:ascii="Times New Roman" w:hAnsi="Times New Roman"/>
          <w:sz w:val="22"/>
          <w:szCs w:val="22"/>
        </w:rPr>
        <w:t xml:space="preserve">(a) the controller for the </w:t>
      </w:r>
      <w:proofErr w:type="spellStart"/>
      <w:r w:rsidRPr="00A324C4">
        <w:rPr>
          <w:rFonts w:ascii="Times New Roman" w:hAnsi="Times New Roman"/>
          <w:sz w:val="22"/>
          <w:szCs w:val="22"/>
        </w:rPr>
        <w:t>processing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of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personal data </w:t>
      </w:r>
      <w:proofErr w:type="spellStart"/>
      <w:r w:rsidRPr="00A324C4">
        <w:rPr>
          <w:rFonts w:ascii="Times New Roman" w:hAnsi="Times New Roman"/>
          <w:sz w:val="22"/>
          <w:szCs w:val="22"/>
        </w:rPr>
        <w:t>carried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out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within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the Commission is</w:t>
      </w:r>
      <w:r w:rsidR="00A324C4" w:rsidRPr="00A324C4">
        <w:rPr>
          <w:rFonts w:ascii="Times New Roman" w:hAnsi="Times New Roman"/>
          <w:sz w:val="22"/>
          <w:szCs w:val="22"/>
        </w:rPr>
        <w:t xml:space="preserve"> </w:t>
      </w:r>
      <w:r w:rsidRPr="00A324C4">
        <w:rPr>
          <w:rFonts w:ascii="Times New Roman" w:hAnsi="Times New Roman"/>
          <w:sz w:val="22"/>
          <w:szCs w:val="22"/>
        </w:rPr>
        <w:t xml:space="preserve">the </w:t>
      </w:r>
      <w:proofErr w:type="spellStart"/>
      <w:r w:rsidRPr="00A324C4">
        <w:rPr>
          <w:rFonts w:ascii="Times New Roman" w:hAnsi="Times New Roman"/>
          <w:sz w:val="22"/>
          <w:szCs w:val="22"/>
        </w:rPr>
        <w:t>head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of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contracts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A324C4">
        <w:rPr>
          <w:rFonts w:ascii="Times New Roman" w:hAnsi="Times New Roman"/>
          <w:sz w:val="22"/>
          <w:szCs w:val="22"/>
        </w:rPr>
        <w:t>finance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unit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R4 </w:t>
      </w:r>
      <w:proofErr w:type="spellStart"/>
      <w:r w:rsidRPr="00A324C4">
        <w:rPr>
          <w:rFonts w:ascii="Times New Roman" w:hAnsi="Times New Roman"/>
          <w:sz w:val="22"/>
          <w:szCs w:val="22"/>
        </w:rPr>
        <w:t>of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DG </w:t>
      </w:r>
      <w:proofErr w:type="spellStart"/>
      <w:r w:rsidRPr="00A324C4">
        <w:rPr>
          <w:rFonts w:ascii="Times New Roman" w:hAnsi="Times New Roman"/>
          <w:sz w:val="22"/>
          <w:szCs w:val="22"/>
        </w:rPr>
        <w:t>Neighbourhood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and </w:t>
      </w:r>
      <w:proofErr w:type="spellStart"/>
      <w:r w:rsidRPr="00A324C4">
        <w:rPr>
          <w:rFonts w:ascii="Times New Roman" w:hAnsi="Times New Roman"/>
          <w:sz w:val="22"/>
          <w:szCs w:val="22"/>
        </w:rPr>
        <w:t>Enlargement</w:t>
      </w:r>
      <w:proofErr w:type="spellEnd"/>
      <w:r w:rsidRPr="00A324C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A324C4">
        <w:rPr>
          <w:rFonts w:ascii="Times New Roman" w:hAnsi="Times New Roman"/>
          <w:sz w:val="22"/>
          <w:szCs w:val="22"/>
        </w:rPr>
        <w:t>Negotiations</w:t>
      </w:r>
      <w:proofErr w:type="spellEnd"/>
      <w:r w:rsidRPr="00A324C4">
        <w:rPr>
          <w:rFonts w:ascii="Times New Roman" w:hAnsi="Times New Roman"/>
          <w:sz w:val="22"/>
          <w:szCs w:val="22"/>
        </w:rPr>
        <w:t>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the data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protection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notice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is </w:t>
      </w:r>
      <w:proofErr w:type="spellStart"/>
      <w:r w:rsidRPr="0068104F">
        <w:rPr>
          <w:rFonts w:ascii="Times New Roman" w:hAnsi="Times New Roman"/>
          <w:sz w:val="22"/>
          <w:szCs w:val="22"/>
          <w:lang w:eastAsia="en-GB"/>
        </w:rPr>
        <w:t>available</w:t>
      </w:r>
      <w:proofErr w:type="spellEnd"/>
      <w:r w:rsidRPr="0068104F">
        <w:rPr>
          <w:rFonts w:ascii="Times New Roman" w:hAnsi="Times New Roman"/>
          <w:sz w:val="22"/>
          <w:szCs w:val="22"/>
          <w:lang w:eastAsia="en-GB"/>
        </w:rPr>
        <w:t xml:space="preserve">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7A4C4D" w:rsidRPr="00462120" w:rsidRDefault="007A4C4D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:rsid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A324C4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B202BC" w:rsidRPr="00A324C4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A324C4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A324C4">
        <w:rPr>
          <w:rFonts w:ascii="Times New Roman" w:hAnsi="Times New Roman"/>
          <w:sz w:val="22"/>
          <w:szCs w:val="22"/>
          <w:lang w:val="en-GB"/>
        </w:rPr>
        <w:t>originals</w:t>
      </w:r>
      <w:r w:rsidRPr="00A324C4">
        <w:rPr>
          <w:rFonts w:ascii="Times New Roman" w:hAnsi="Times New Roman"/>
          <w:sz w:val="22"/>
          <w:lang w:val="en-GB"/>
        </w:rPr>
        <w:t>:</w:t>
      </w:r>
      <w:r w:rsidRPr="00A324C4">
        <w:rPr>
          <w:rFonts w:ascii="Times New Roman" w:hAnsi="Times New Roman"/>
          <w:i/>
          <w:sz w:val="22"/>
          <w:lang w:val="en-GB"/>
        </w:rPr>
        <w:t xml:space="preserve"> </w:t>
      </w:r>
      <w:r w:rsidRPr="00A324C4">
        <w:rPr>
          <w:rFonts w:ascii="Times New Roman" w:hAnsi="Times New Roman"/>
          <w:sz w:val="22"/>
          <w:lang w:val="en-GB"/>
        </w:rPr>
        <w:t xml:space="preserve">one original being for the </w:t>
      </w:r>
      <w:r w:rsidR="00A324C4">
        <w:rPr>
          <w:rFonts w:ascii="Times New Roman" w:hAnsi="Times New Roman"/>
          <w:sz w:val="22"/>
          <w:lang w:val="en-GB"/>
        </w:rPr>
        <w:t>C</w:t>
      </w:r>
      <w:r w:rsidRPr="00A324C4">
        <w:rPr>
          <w:rFonts w:ascii="Times New Roman" w:hAnsi="Times New Roman"/>
          <w:sz w:val="22"/>
          <w:lang w:val="en-GB"/>
        </w:rPr>
        <w:t xml:space="preserve">ontracting </w:t>
      </w:r>
      <w:r w:rsidR="00A324C4">
        <w:rPr>
          <w:rFonts w:ascii="Times New Roman" w:hAnsi="Times New Roman"/>
          <w:sz w:val="22"/>
          <w:lang w:val="en-GB"/>
        </w:rPr>
        <w:t>A</w:t>
      </w:r>
      <w:r w:rsidRPr="00A324C4">
        <w:rPr>
          <w:rFonts w:ascii="Times New Roman" w:hAnsi="Times New Roman"/>
          <w:sz w:val="22"/>
          <w:lang w:val="en-GB"/>
        </w:rPr>
        <w:t>uthority, one original being for the European Commission, and one</w:t>
      </w:r>
      <w:r w:rsidRPr="005B03BC">
        <w:rPr>
          <w:rFonts w:ascii="Times New Roman" w:hAnsi="Times New Roman"/>
          <w:sz w:val="22"/>
          <w:lang w:val="en-GB"/>
        </w:rPr>
        <w:t xml:space="preserve"> original being for the </w:t>
      </w:r>
      <w:r w:rsidR="00A324C4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A324C4" w:rsidRPr="005B03BC" w:rsidRDefault="00A324C4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07"/>
        <w:gridCol w:w="2746"/>
        <w:gridCol w:w="1484"/>
        <w:gridCol w:w="2874"/>
      </w:tblGrid>
      <w:tr w:rsidR="004D2FD8" w:rsidRPr="007B70EE" w:rsidTr="00A324C4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324C4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A324C4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A324C4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A324C4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A324C4">
        <w:trPr>
          <w:trHeight w:val="555"/>
        </w:trPr>
        <w:tc>
          <w:tcPr>
            <w:tcW w:w="1507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74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84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874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A324C4">
        <w:trPr>
          <w:trHeight w:val="577"/>
        </w:trPr>
        <w:tc>
          <w:tcPr>
            <w:tcW w:w="1507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74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84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874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A324C4">
        <w:trPr>
          <w:trHeight w:val="878"/>
        </w:trPr>
        <w:tc>
          <w:tcPr>
            <w:tcW w:w="1507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74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84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874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A324C4">
        <w:trPr>
          <w:trHeight w:val="428"/>
        </w:trPr>
        <w:tc>
          <w:tcPr>
            <w:tcW w:w="1507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74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484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874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DB5" w:rsidRDefault="00166DB5">
      <w:r>
        <w:separator/>
      </w:r>
    </w:p>
    <w:p w:rsidR="00166DB5" w:rsidRDefault="00166DB5"/>
  </w:endnote>
  <w:endnote w:type="continuationSeparator" w:id="0">
    <w:p w:rsidR="00166DB5" w:rsidRDefault="00166DB5">
      <w:r>
        <w:continuationSeparator/>
      </w:r>
    </w:p>
    <w:p w:rsidR="00166DB5" w:rsidRDefault="00166D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B7E0B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B7E0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DB5" w:rsidRDefault="00166DB5" w:rsidP="008056C4">
      <w:pPr>
        <w:spacing w:before="0" w:after="0"/>
      </w:pPr>
      <w:r>
        <w:separator/>
      </w:r>
    </w:p>
  </w:footnote>
  <w:footnote w:type="continuationSeparator" w:id="0">
    <w:p w:rsidR="00166DB5" w:rsidRDefault="00166DB5">
      <w:r>
        <w:continuationSeparator/>
      </w:r>
    </w:p>
    <w:p w:rsidR="00166DB5" w:rsidRDefault="00166DB5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1B3C44" w:rsidRPr="00C675D1" w:rsidRDefault="001B3C44" w:rsidP="001B3C4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1B3C44">
        <w:rPr>
          <w:lang w:val="en-GB"/>
        </w:rPr>
        <w:t>DDP (Delivered Duty Paid)</w:t>
      </w:r>
      <w:r w:rsidRPr="001B3C44">
        <w:rPr>
          <w:sz w:val="22"/>
          <w:szCs w:val="22"/>
          <w:lang w:val="en-GB"/>
        </w:rPr>
        <w:t xml:space="preserve"> </w:t>
      </w:r>
      <w:r w:rsidRPr="001B3C44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66DB5"/>
    <w:rsid w:val="001766D9"/>
    <w:rsid w:val="00181980"/>
    <w:rsid w:val="00187253"/>
    <w:rsid w:val="00192C73"/>
    <w:rsid w:val="001932AF"/>
    <w:rsid w:val="001937B4"/>
    <w:rsid w:val="001B1A48"/>
    <w:rsid w:val="001B33B6"/>
    <w:rsid w:val="001B3C44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44ABE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43BD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424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0BFB"/>
    <w:rsid w:val="0061160A"/>
    <w:rsid w:val="00614D5B"/>
    <w:rsid w:val="00623B00"/>
    <w:rsid w:val="00627EBD"/>
    <w:rsid w:val="006311FE"/>
    <w:rsid w:val="00633829"/>
    <w:rsid w:val="006408AC"/>
    <w:rsid w:val="00653622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364A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1C02"/>
    <w:rsid w:val="0075384B"/>
    <w:rsid w:val="0076436E"/>
    <w:rsid w:val="00764FC7"/>
    <w:rsid w:val="00765A51"/>
    <w:rsid w:val="00766B2A"/>
    <w:rsid w:val="00777E99"/>
    <w:rsid w:val="00792A1B"/>
    <w:rsid w:val="00794EAD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436B7"/>
    <w:rsid w:val="008517AF"/>
    <w:rsid w:val="00853F9D"/>
    <w:rsid w:val="0085667F"/>
    <w:rsid w:val="008617F3"/>
    <w:rsid w:val="00862142"/>
    <w:rsid w:val="008808CB"/>
    <w:rsid w:val="008859E6"/>
    <w:rsid w:val="00893195"/>
    <w:rsid w:val="008A077E"/>
    <w:rsid w:val="008A39B7"/>
    <w:rsid w:val="008B1768"/>
    <w:rsid w:val="008B465B"/>
    <w:rsid w:val="008B7E0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324C4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3191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6CD4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A2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04A4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0FF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83603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1B3C44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C8C24-C2E9-46FC-86D1-0F8F7672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4514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Milica Živković</cp:lastModifiedBy>
  <cp:revision>13</cp:revision>
  <cp:lastPrinted>2012-10-22T09:58:00Z</cp:lastPrinted>
  <dcterms:created xsi:type="dcterms:W3CDTF">2022-12-07T12:53:00Z</dcterms:created>
  <dcterms:modified xsi:type="dcterms:W3CDTF">2023-07-11T09:56:00Z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