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bookmarkStart w:id="1" w:name="_GoBack"/>
      <w:bookmarkEnd w:id="1"/>
      <w:permStart w:id="1609173391" w:edGrp="everyone"/>
      <w:permEnd w:id="1609173391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FF4A6D" w:rsidRPr="00555257" w:rsidRDefault="00FF4A6D" w:rsidP="00FF4A6D">
      <w:pPr>
        <w:spacing w:before="0" w:after="0"/>
        <w:jc w:val="center"/>
        <w:rPr>
          <w:rFonts w:ascii="Times New Roman" w:hAnsi="Times New Roman"/>
          <w:iCs/>
          <w:sz w:val="22"/>
          <w:szCs w:val="22"/>
        </w:rPr>
      </w:pPr>
      <w:r w:rsidRPr="0048570D">
        <w:rPr>
          <w:rFonts w:ascii="Times New Roman" w:hAnsi="Times New Roman"/>
          <w:iCs/>
          <w:sz w:val="22"/>
          <w:szCs w:val="22"/>
        </w:rPr>
        <w:t>Government of the Republic of Serbia</w:t>
      </w:r>
      <w:r>
        <w:rPr>
          <w:rFonts w:ascii="Times New Roman" w:hAnsi="Times New Roman"/>
          <w:iCs/>
          <w:sz w:val="22"/>
          <w:szCs w:val="22"/>
        </w:rPr>
        <w:t xml:space="preserve">, represented by the </w:t>
      </w:r>
      <w:r w:rsidRPr="0048570D">
        <w:rPr>
          <w:rFonts w:ascii="Times New Roman" w:hAnsi="Times New Roman"/>
          <w:iCs/>
          <w:sz w:val="22"/>
          <w:szCs w:val="22"/>
        </w:rPr>
        <w:t>Ministry of Finance</w:t>
      </w:r>
    </w:p>
    <w:p w:rsidR="00FF4A6D" w:rsidRPr="0048570D" w:rsidRDefault="00FF4A6D" w:rsidP="00FF4A6D">
      <w:pPr>
        <w:spacing w:before="0" w:after="0"/>
        <w:jc w:val="center"/>
        <w:rPr>
          <w:rFonts w:ascii="Times New Roman" w:hAnsi="Times New Roman"/>
          <w:iCs/>
          <w:sz w:val="22"/>
          <w:szCs w:val="22"/>
        </w:rPr>
      </w:pPr>
      <w:r w:rsidRPr="0048570D">
        <w:rPr>
          <w:rFonts w:ascii="Times New Roman" w:hAnsi="Times New Roman"/>
          <w:iCs/>
          <w:sz w:val="22"/>
          <w:szCs w:val="22"/>
        </w:rPr>
        <w:t>Department for Contracting and Financing of EU Funded Programmes (CFCU)</w:t>
      </w:r>
    </w:p>
    <w:p w:rsidR="00FF4A6D" w:rsidRPr="0048570D" w:rsidRDefault="00FF4A6D" w:rsidP="00FF4A6D">
      <w:pPr>
        <w:spacing w:before="0" w:after="0"/>
        <w:jc w:val="center"/>
        <w:rPr>
          <w:rFonts w:ascii="Times New Roman" w:hAnsi="Times New Roman"/>
          <w:iCs/>
          <w:sz w:val="22"/>
          <w:szCs w:val="22"/>
        </w:rPr>
      </w:pPr>
      <w:r w:rsidRPr="0048570D">
        <w:rPr>
          <w:rFonts w:ascii="Times New Roman" w:hAnsi="Times New Roman"/>
          <w:iCs/>
          <w:sz w:val="22"/>
          <w:szCs w:val="22"/>
        </w:rPr>
        <w:t>3-5 Sremska St</w:t>
      </w:r>
      <w:r>
        <w:rPr>
          <w:rFonts w:ascii="Times New Roman" w:hAnsi="Times New Roman"/>
          <w:iCs/>
          <w:sz w:val="22"/>
          <w:szCs w:val="22"/>
        </w:rPr>
        <w:t>, VII floor, office 701</w:t>
      </w:r>
    </w:p>
    <w:p w:rsidR="00FF4A6D" w:rsidRDefault="00FF4A6D" w:rsidP="00FF4A6D">
      <w:pPr>
        <w:spacing w:before="0" w:after="0"/>
        <w:jc w:val="center"/>
        <w:rPr>
          <w:rFonts w:ascii="Times New Roman" w:hAnsi="Times New Roman"/>
          <w:iCs/>
          <w:sz w:val="22"/>
          <w:szCs w:val="22"/>
        </w:rPr>
      </w:pPr>
      <w:r w:rsidRPr="0048570D">
        <w:rPr>
          <w:rFonts w:ascii="Times New Roman" w:hAnsi="Times New Roman"/>
          <w:iCs/>
          <w:sz w:val="22"/>
          <w:szCs w:val="22"/>
        </w:rPr>
        <w:t>11000</w:t>
      </w:r>
      <w:r>
        <w:rPr>
          <w:rFonts w:ascii="Times New Roman" w:hAnsi="Times New Roman"/>
          <w:iCs/>
          <w:sz w:val="22"/>
          <w:szCs w:val="22"/>
        </w:rPr>
        <w:t xml:space="preserve"> Belgrade</w:t>
      </w:r>
    </w:p>
    <w:p w:rsidR="00FF4A6D" w:rsidRDefault="00FF4A6D" w:rsidP="00FF4A6D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iCs/>
          <w:sz w:val="22"/>
          <w:szCs w:val="22"/>
        </w:rPr>
        <w:t xml:space="preserve">Republic of </w:t>
      </w:r>
      <w:r w:rsidRPr="0048570D">
        <w:rPr>
          <w:rFonts w:ascii="Times New Roman" w:hAnsi="Times New Roman"/>
          <w:iCs/>
          <w:sz w:val="22"/>
          <w:szCs w:val="22"/>
        </w:rPr>
        <w:t>Serbia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056EAA" w:rsidRPr="00FF4A6D">
        <w:rPr>
          <w:rFonts w:ascii="Times New Roman" w:hAnsi="Times New Roman"/>
          <w:sz w:val="22"/>
          <w:lang w:val="en-GB"/>
        </w:rPr>
        <w:t xml:space="preserve">and in any case at the latest on (at the expiry of </w:t>
      </w:r>
      <w:r w:rsidR="00B758FB" w:rsidRPr="00FF4A6D">
        <w:rPr>
          <w:rFonts w:ascii="Times New Roman" w:hAnsi="Times New Roman"/>
          <w:sz w:val="22"/>
          <w:lang w:val="en-GB"/>
        </w:rPr>
        <w:t>18</w:t>
      </w:r>
      <w:r w:rsidR="00056EAA" w:rsidRPr="00FF4A6D">
        <w:rPr>
          <w:rFonts w:ascii="Times New Roman" w:hAnsi="Times New Roman"/>
          <w:sz w:val="22"/>
          <w:lang w:val="en-GB"/>
        </w:rPr>
        <w:t xml:space="preserve"> months after the </w:t>
      </w:r>
      <w:r w:rsidR="00B57823" w:rsidRPr="00FF4A6D">
        <w:rPr>
          <w:rFonts w:ascii="Times New Roman" w:hAnsi="Times New Roman"/>
          <w:sz w:val="22"/>
          <w:lang w:val="en-GB"/>
        </w:rPr>
        <w:t xml:space="preserve">period of </w:t>
      </w:r>
      <w:r w:rsidR="00056EAA" w:rsidRPr="00FF4A6D">
        <w:rPr>
          <w:rFonts w:ascii="Times New Roman" w:hAnsi="Times New Roman"/>
          <w:sz w:val="22"/>
          <w:lang w:val="en-GB"/>
        </w:rPr>
        <w:t xml:space="preserve">implementation of the </w:t>
      </w:r>
      <w:r w:rsidR="00B57823" w:rsidRPr="00FF4A6D">
        <w:rPr>
          <w:rFonts w:ascii="Times New Roman" w:hAnsi="Times New Roman"/>
          <w:sz w:val="22"/>
          <w:lang w:val="en-GB"/>
        </w:rPr>
        <w:t>tasks</w:t>
      </w:r>
      <w:r w:rsidR="00056EAA" w:rsidRPr="00FF4A6D">
        <w:rPr>
          <w:rFonts w:ascii="Times New Roman" w:hAnsi="Times New Roman"/>
          <w:sz w:val="22"/>
          <w:lang w:val="en-GB"/>
        </w:rPr>
        <w:t>)</w:t>
      </w:r>
      <w:r w:rsidR="00056EAA" w:rsidRPr="00FF4A6D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056EAA" w:rsidRPr="00FF4A6D">
        <w:rPr>
          <w:rFonts w:ascii="Times New Roman" w:hAnsi="Times New Roman"/>
          <w:sz w:val="22"/>
          <w:lang w:val="en-GB"/>
        </w:rPr>
        <w:t>.</w:t>
      </w:r>
    </w:p>
    <w:p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&lt;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highlight w:val="yellow"/>
          <w:lang w:val="en-GB"/>
        </w:rPr>
        <w:t>country in which the financial institution issuing the guarantee is established&gt;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397138"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A06246"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 w:rsidR="00056123">
        <w:rPr>
          <w:rFonts w:ascii="Times New Roman" w:hAnsi="Times New Roman"/>
          <w:sz w:val="22"/>
          <w:lang w:val="en-GB"/>
        </w:rPr>
        <w:t>.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11"/>
      <w:footerReference w:type="first" r:id="rId12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9D1" w:rsidRDefault="007649D1">
      <w:r>
        <w:separator/>
      </w:r>
    </w:p>
  </w:endnote>
  <w:endnote w:type="continuationSeparator" w:id="0">
    <w:p w:rsidR="007649D1" w:rsidRDefault="00764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DC9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B50096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B50096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B50096">
      <w:rPr>
        <w:rFonts w:ascii="Times New Roman" w:hAnsi="Times New Roman"/>
        <w:noProof/>
        <w:sz w:val="18"/>
        <w:szCs w:val="18"/>
        <w:lang w:val="en-GB"/>
      </w:rPr>
      <w:t>c4h_perfguarantee_en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B50096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B50096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B50096">
      <w:rPr>
        <w:rFonts w:ascii="Times New Roman" w:hAnsi="Times New Roman"/>
        <w:noProof/>
        <w:sz w:val="18"/>
        <w:szCs w:val="18"/>
        <w:lang w:val="en-GB"/>
      </w:rPr>
      <w:t>c4h_perfguarantee_en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9D1" w:rsidRDefault="007649D1">
      <w:r>
        <w:separator/>
      </w:r>
    </w:p>
  </w:footnote>
  <w:footnote w:type="continuationSeparator" w:id="0">
    <w:p w:rsidR="007649D1" w:rsidRDefault="007649D1">
      <w:r>
        <w:continuationSeparator/>
      </w:r>
    </w:p>
  </w:footnote>
  <w:footnote w:id="1">
    <w:p w:rsidR="00E811F3" w:rsidRPr="008E12AD" w:rsidRDefault="00E811F3">
      <w:pPr>
        <w:pStyle w:val="FootnoteText"/>
        <w:jc w:val="both"/>
        <w:rPr>
          <w:lang w:val="en-GB"/>
        </w:rPr>
      </w:pPr>
      <w:r w:rsidRPr="00853E6E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2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  <w:footnote w:id="3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1E3AC6">
        <w:rPr>
          <w:lang w:val="en-IE"/>
        </w:rPr>
        <w:t xml:space="preserve">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63B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649D1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0096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  <w:rsid w:val="00FF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CDE86C-9A81-4F4B-A6EC-8BB03BC4C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CFCU </cp:lastModifiedBy>
  <cp:revision>21</cp:revision>
  <cp:lastPrinted>2023-08-22T10:12:00Z</cp:lastPrinted>
  <dcterms:created xsi:type="dcterms:W3CDTF">2018-12-18T11:39:00Z</dcterms:created>
  <dcterms:modified xsi:type="dcterms:W3CDTF">2023-08-22T10:12:00Z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