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C12D1" w14:textId="77777777" w:rsidR="00187D68" w:rsidRPr="00764A85" w:rsidRDefault="00187D68" w:rsidP="00532286">
      <w:pPr>
        <w:spacing w:before="120"/>
        <w:jc w:val="center"/>
        <w:rPr>
          <w:b/>
          <w:sz w:val="28"/>
          <w:szCs w:val="28"/>
        </w:rPr>
      </w:pPr>
    </w:p>
    <w:p w14:paraId="389ACA98" w14:textId="77777777" w:rsidR="00C2718F" w:rsidRPr="00764A85" w:rsidRDefault="00C2718F" w:rsidP="00290199">
      <w:pPr>
        <w:pageBreakBefore/>
        <w:spacing w:before="120"/>
        <w:jc w:val="center"/>
        <w:rPr>
          <w:b/>
          <w:sz w:val="28"/>
          <w:szCs w:val="28"/>
        </w:rPr>
      </w:pPr>
      <w:r w:rsidRPr="00764A85">
        <w:rPr>
          <w:b/>
          <w:sz w:val="28"/>
          <w:szCs w:val="28"/>
        </w:rPr>
        <w:lastRenderedPageBreak/>
        <w:t>GRANT CONTRACT</w:t>
      </w:r>
    </w:p>
    <w:p w14:paraId="255B0DED"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3131F55F"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649F00CC"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2EE704B"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5056D373" w14:textId="77737F99" w:rsidR="00C2718F" w:rsidRPr="00764A85" w:rsidRDefault="00A9034E" w:rsidP="00532286">
      <w:pPr>
        <w:tabs>
          <w:tab w:val="left" w:pos="-1440"/>
          <w:tab w:val="left" w:pos="-720"/>
          <w:tab w:val="left" w:pos="828"/>
          <w:tab w:val="left" w:pos="1044"/>
          <w:tab w:val="left" w:pos="1260"/>
          <w:tab w:val="left" w:pos="1476"/>
          <w:tab w:val="left" w:pos="1692"/>
          <w:tab w:val="left" w:pos="2160"/>
        </w:tabs>
        <w:spacing w:before="120"/>
        <w:jc w:val="both"/>
        <w:rPr>
          <w:sz w:val="22"/>
        </w:rPr>
      </w:pPr>
      <w:r>
        <w:rPr>
          <w:sz w:val="22"/>
          <w:szCs w:val="22"/>
        </w:rPr>
        <w:t xml:space="preserve">Government of the Republic of Serbia, Ministry of Finance, Department for Contracting and Financing of EU Funded Programmes, </w:t>
      </w:r>
      <w:r>
        <w:rPr>
          <w:sz w:val="22"/>
        </w:rPr>
        <w:t>Balkanska St, 53</w:t>
      </w:r>
      <w:r>
        <w:rPr>
          <w:sz w:val="22"/>
          <w:szCs w:val="22"/>
        </w:rPr>
        <w:t>, 11000 Belgrade</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14:paraId="2DFAB354"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05BE5B1C" w14:textId="77777777" w:rsidR="006A0EBA" w:rsidRDefault="006A0EBA" w:rsidP="00532286">
      <w:pPr>
        <w:tabs>
          <w:tab w:val="left" w:pos="-1701"/>
          <w:tab w:val="left" w:pos="-1560"/>
          <w:tab w:val="left" w:pos="-1440"/>
        </w:tabs>
        <w:spacing w:before="120"/>
        <w:jc w:val="right"/>
        <w:rPr>
          <w:sz w:val="22"/>
        </w:rPr>
      </w:pPr>
    </w:p>
    <w:p w14:paraId="72BA007C" w14:textId="77777777" w:rsidR="006A0EBA" w:rsidRPr="00764A85" w:rsidRDefault="006A0EBA" w:rsidP="00532286">
      <w:pPr>
        <w:tabs>
          <w:tab w:val="left" w:pos="-1701"/>
          <w:tab w:val="left" w:pos="-1560"/>
          <w:tab w:val="left" w:pos="-1440"/>
        </w:tabs>
        <w:spacing w:before="120"/>
        <w:jc w:val="right"/>
        <w:rPr>
          <w:sz w:val="22"/>
        </w:rPr>
      </w:pPr>
    </w:p>
    <w:p w14:paraId="64B1818B"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08C38BF0"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0DC32E1"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2A98C0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411EA5E7"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CF64DC"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625D32DF" w14:textId="77777777" w:rsidR="00B9146B" w:rsidRPr="00764A85" w:rsidRDefault="00B9146B" w:rsidP="00C76959">
      <w:pPr>
        <w:spacing w:before="120"/>
        <w:jc w:val="both"/>
        <w:rPr>
          <w:sz w:val="22"/>
          <w:szCs w:val="22"/>
        </w:rPr>
      </w:pPr>
    </w:p>
    <w:p w14:paraId="2C7584E2"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p>
    <w:p w14:paraId="33778CD9"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0C6323E5"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5264D178"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Pr>
          <w:sz w:val="22"/>
          <w:szCs w:val="22"/>
          <w:highlight w:val="lightGray"/>
        </w:rPr>
        <w:t>and</w:t>
      </w:r>
      <w:r w:rsidR="00360390" w:rsidRPr="00764A85">
        <w:rPr>
          <w:sz w:val="22"/>
          <w:szCs w:val="22"/>
        </w:rPr>
        <w:t xml:space="preserve"> </w:t>
      </w:r>
    </w:p>
    <w:p w14:paraId="00C4DB2A"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14:paraId="1B18835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1672A8F3"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47C82E2F"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65A0903C"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5BCA3725" w14:textId="77777777"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Pr>
          <w:sz w:val="22"/>
          <w:szCs w:val="22"/>
          <w:highlight w:val="lightGray"/>
        </w:rPr>
        <w:t>who have conferred powers of attorney for the purposes of the signature of the agreement t</w:t>
      </w:r>
      <w:r w:rsidR="00B9146B">
        <w:rPr>
          <w:sz w:val="22"/>
          <w:szCs w:val="22"/>
          <w:highlight w:val="lightGray"/>
        </w:rPr>
        <w:t xml:space="preserve">o the </w:t>
      </w:r>
      <w:r w:rsidR="00BF0980">
        <w:rPr>
          <w:sz w:val="22"/>
          <w:szCs w:val="22"/>
          <w:highlight w:val="lightGray"/>
        </w:rPr>
        <w:t>c</w:t>
      </w:r>
      <w:r w:rsidR="00B9146B">
        <w:rPr>
          <w:sz w:val="22"/>
          <w:szCs w:val="22"/>
          <w:highlight w:val="lightGray"/>
        </w:rPr>
        <w:t>oo</w:t>
      </w:r>
      <w:r>
        <w:rPr>
          <w:sz w:val="22"/>
          <w:szCs w:val="22"/>
          <w:highlight w:val="lightGray"/>
        </w:rPr>
        <w:t>rdinator</w:t>
      </w:r>
      <w:r w:rsidR="00B67F8B">
        <w:rPr>
          <w:rStyle w:val="FootnoteReference"/>
          <w:sz w:val="22"/>
          <w:szCs w:val="22"/>
          <w:highlight w:val="lightGray"/>
        </w:rPr>
        <w:footnoteReference w:id="1"/>
      </w:r>
      <w:r>
        <w:rPr>
          <w:sz w:val="22"/>
          <w:szCs w:val="22"/>
          <w:highlight w:val="lightGray"/>
        </w:rPr>
        <w:t xml:space="preserve">, 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eneficiary(ies)</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eneficiary(ies)</w:t>
      </w:r>
      <w:r w:rsidR="00B63EAC" w:rsidRPr="00B63EAC">
        <w:rPr>
          <w:sz w:val="22"/>
          <w:szCs w:val="22"/>
        </w:rPr>
        <w:t xml:space="preserve"> </w:t>
      </w:r>
      <w:r w:rsidR="00B63EAC">
        <w:rPr>
          <w:sz w:val="22"/>
          <w:szCs w:val="22"/>
        </w:rPr>
        <w:t>]</w:t>
      </w:r>
    </w:p>
    <w:p w14:paraId="0A2533C3"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503F6527"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2B18748B" w14:textId="77777777" w:rsidR="00360390" w:rsidRPr="00764A85" w:rsidRDefault="00360390" w:rsidP="00532286">
      <w:pPr>
        <w:spacing w:before="120"/>
        <w:jc w:val="both"/>
        <w:rPr>
          <w:sz w:val="22"/>
        </w:rPr>
      </w:pPr>
    </w:p>
    <w:p w14:paraId="643BB722" w14:textId="77777777" w:rsidR="00C2718F" w:rsidRPr="00764A85" w:rsidRDefault="00C2718F" w:rsidP="00532286">
      <w:pPr>
        <w:spacing w:before="120"/>
        <w:jc w:val="both"/>
        <w:rPr>
          <w:sz w:val="22"/>
        </w:rPr>
      </w:pPr>
      <w:r w:rsidRPr="00764A85">
        <w:rPr>
          <w:sz w:val="22"/>
        </w:rPr>
        <w:t>have agreed as follows:</w:t>
      </w:r>
    </w:p>
    <w:p w14:paraId="61ED8DDC" w14:textId="77777777" w:rsidR="00360390" w:rsidRPr="00764A85" w:rsidRDefault="00360390" w:rsidP="00532286">
      <w:pPr>
        <w:spacing w:before="120"/>
        <w:jc w:val="both"/>
        <w:rPr>
          <w:sz w:val="22"/>
        </w:rPr>
      </w:pPr>
    </w:p>
    <w:p w14:paraId="71680A15"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3F57CDAD"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267A3E0A" w14:textId="394CF661"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A56DEF" w:rsidRPr="00B64CBC">
        <w:rPr>
          <w:sz w:val="22"/>
        </w:rPr>
        <w:t xml:space="preserve">the implementation of </w:t>
      </w:r>
      <w:r w:rsidRPr="00B64CBC">
        <w:rPr>
          <w:sz w:val="22"/>
        </w:rPr>
        <w:t xml:space="preserve">the </w:t>
      </w:r>
      <w:r w:rsidR="00F21491" w:rsidRPr="00B64CBC">
        <w:rPr>
          <w:sz w:val="22"/>
        </w:rPr>
        <w:t>a</w:t>
      </w:r>
      <w:r w:rsidRPr="00B64CBC">
        <w:rPr>
          <w:sz w:val="22"/>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B64CBC">
        <w:rPr>
          <w:sz w:val="22"/>
        </w:rPr>
        <w:t>&gt;</w:t>
      </w:r>
      <w:r w:rsidRPr="00B64CBC">
        <w:rPr>
          <w:sz w:val="22"/>
        </w:rPr>
        <w:t xml:space="preserve"> (the </w:t>
      </w:r>
      <w:r w:rsidR="00B479BA" w:rsidRPr="00B64CBC">
        <w:rPr>
          <w:sz w:val="22"/>
        </w:rPr>
        <w:t>‘</w:t>
      </w:r>
      <w:r w:rsidR="00BF0980" w:rsidRPr="00B64CBC">
        <w:rPr>
          <w:sz w:val="22"/>
        </w:rPr>
        <w:t>a</w:t>
      </w:r>
      <w:r w:rsidRPr="00B64CBC">
        <w:rPr>
          <w:sz w:val="22"/>
        </w:rPr>
        <w:t>ction</w:t>
      </w:r>
      <w:r w:rsidR="00B479BA" w:rsidRPr="00B64CBC">
        <w:rPr>
          <w:sz w:val="22"/>
        </w:rPr>
        <w:t>’</w:t>
      </w:r>
      <w:r w:rsidRPr="00B64CBC">
        <w:rPr>
          <w:sz w:val="22"/>
        </w:rPr>
        <w:t>)</w:t>
      </w:r>
      <w:r w:rsidR="00615407" w:rsidRPr="00FB0431">
        <w:rPr>
          <w:sz w:val="22"/>
        </w:rPr>
        <w:t xml:space="preserve"> </w:t>
      </w:r>
      <w:r w:rsidR="002E60D5" w:rsidRPr="00764A85">
        <w:rPr>
          <w:sz w:val="22"/>
        </w:rPr>
        <w:t>described in Annex I</w:t>
      </w:r>
      <w:r w:rsidRPr="00764A85">
        <w:rPr>
          <w:sz w:val="22"/>
        </w:rPr>
        <w:t>.</w:t>
      </w:r>
    </w:p>
    <w:p w14:paraId="3AAAD775"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14:paraId="47186477"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0DD31595"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5EF9B44"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04246B01" w14:textId="326A83D0" w:rsidR="00C2718F"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BF0980" w:rsidRPr="00B64CBC">
        <w:rPr>
          <w:sz w:val="22"/>
        </w:rPr>
        <w:t>a</w:t>
      </w:r>
      <w:r w:rsidRPr="00B64CBC">
        <w:rPr>
          <w:sz w:val="22"/>
        </w:rPr>
        <w:t>ction</w:t>
      </w:r>
      <w:r w:rsidRPr="00764A85">
        <w:rPr>
          <w:sz w:val="22"/>
        </w:rPr>
        <w:t>shall begin on:</w:t>
      </w:r>
    </w:p>
    <w:p w14:paraId="0429BD0A" w14:textId="77777777" w:rsidR="00C2718F" w:rsidRPr="00F13D45" w:rsidRDefault="00C2718F" w:rsidP="00532286">
      <w:pPr>
        <w:spacing w:before="120"/>
        <w:ind w:left="567"/>
        <w:jc w:val="both"/>
        <w:rPr>
          <w:sz w:val="22"/>
          <w:highlight w:val="yellow"/>
        </w:rPr>
      </w:pPr>
      <w:r w:rsidRPr="00F13D45">
        <w:rPr>
          <w:sz w:val="22"/>
          <w:highlight w:val="yellow"/>
        </w:rPr>
        <w:t>choose one of the following:</w:t>
      </w:r>
    </w:p>
    <w:p w14:paraId="5045DA89" w14:textId="74057D11" w:rsidR="00C2718F" w:rsidRDefault="00C2718F" w:rsidP="00532286">
      <w:pPr>
        <w:widowControl w:val="0"/>
        <w:spacing w:before="120"/>
        <w:ind w:left="851" w:hanging="142"/>
        <w:rPr>
          <w:snapToGrid w:val="0"/>
          <w:sz w:val="22"/>
          <w:highlight w:val="lightGray"/>
        </w:rPr>
      </w:pPr>
      <w:r>
        <w:rPr>
          <w:i/>
          <w:snapToGrid w:val="0"/>
          <w:sz w:val="22"/>
          <w:highlight w:val="lightGray"/>
        </w:rPr>
        <w:t>-</w:t>
      </w:r>
      <w:r>
        <w:rPr>
          <w:snapToGrid w:val="0"/>
          <w:sz w:val="22"/>
          <w:highlight w:val="lightGray"/>
        </w:rPr>
        <w:tab/>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r w:rsidR="003C0331">
        <w:rPr>
          <w:snapToGrid w:val="0"/>
          <w:sz w:val="22"/>
          <w:highlight w:val="lightGray"/>
        </w:rPr>
        <w:t>p</w:t>
      </w:r>
      <w:r>
        <w:rPr>
          <w:snapToGrid w:val="0"/>
          <w:sz w:val="22"/>
          <w:highlight w:val="lightGray"/>
        </w:rPr>
        <w:t>arties signs</w:t>
      </w:r>
    </w:p>
    <w:p w14:paraId="22DD9290" w14:textId="2638868A" w:rsidR="00FA57C7" w:rsidRDefault="00C2718F" w:rsidP="00532286">
      <w:pPr>
        <w:spacing w:before="120"/>
        <w:ind w:left="851" w:hanging="142"/>
        <w:jc w:val="both"/>
        <w:rPr>
          <w:snapToGrid w:val="0"/>
          <w:sz w:val="22"/>
          <w:highlight w:val="lightGray"/>
        </w:rPr>
      </w:pPr>
      <w:r>
        <w:rPr>
          <w:snapToGrid w:val="0"/>
          <w:sz w:val="22"/>
          <w:highlight w:val="lightGray"/>
        </w:rPr>
        <w:t>-</w:t>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p>
    <w:p w14:paraId="294C5B28" w14:textId="224741DB" w:rsidR="00C2718F" w:rsidRPr="00041A83" w:rsidRDefault="00C2718F" w:rsidP="00532286">
      <w:pPr>
        <w:spacing w:before="120"/>
        <w:ind w:left="851" w:hanging="142"/>
        <w:jc w:val="both"/>
        <w:rPr>
          <w:snapToGrid w:val="0"/>
          <w:sz w:val="22"/>
          <w:highlight w:val="yellow"/>
        </w:rPr>
      </w:pPr>
      <w:r>
        <w:rPr>
          <w:snapToGrid w:val="0"/>
          <w:sz w:val="22"/>
          <w:highlight w:val="lightGray"/>
        </w:rPr>
        <w:t>-</w:t>
      </w:r>
      <w:r>
        <w:rPr>
          <w:snapToGrid w:val="0"/>
          <w:sz w:val="22"/>
          <w:highlight w:val="lightGray"/>
        </w:rPr>
        <w:tab/>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p>
    <w:p w14:paraId="7151D3E3" w14:textId="57D213BE" w:rsidR="00C2718F" w:rsidRPr="00764A85" w:rsidRDefault="00C2718F" w:rsidP="00532286">
      <w:pPr>
        <w:widowControl w:val="0"/>
        <w:spacing w:before="120"/>
        <w:ind w:left="851" w:hanging="142"/>
        <w:jc w:val="both"/>
        <w:rPr>
          <w:snapToGrid w:val="0"/>
          <w:sz w:val="22"/>
        </w:rPr>
      </w:pPr>
    </w:p>
    <w:p w14:paraId="4251CE0B" w14:textId="40194D13"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w:t>
      </w:r>
      <w:r w:rsidR="00615407" w:rsidRPr="00A9034E">
        <w:rPr>
          <w:sz w:val="22"/>
        </w:rPr>
        <w:t xml:space="preserve">the </w:t>
      </w:r>
      <w:r w:rsidR="00BF0980" w:rsidRPr="00B64CBC">
        <w:rPr>
          <w:sz w:val="22"/>
        </w:rPr>
        <w:t>a</w:t>
      </w:r>
      <w:r w:rsidR="00615407" w:rsidRPr="00B64CBC">
        <w:rPr>
          <w:sz w:val="22"/>
        </w:rPr>
        <w:t>ction</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3CDE63F8"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AAE0293"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2"/>
      </w:r>
    </w:p>
    <w:p w14:paraId="2E103660" w14:textId="5449B503"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B64CBC">
        <w:rPr>
          <w:sz w:val="22"/>
        </w:rPr>
        <w:t>EUR</w:t>
      </w:r>
      <w:r w:rsidR="00A9034E">
        <w:rPr>
          <w:sz w:val="22"/>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3F02CEF3" w14:textId="2FCB025A"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F21491" w:rsidRPr="00B64CBC">
        <w:rPr>
          <w:sz w:val="22"/>
        </w:rPr>
        <w:t>EUR</w:t>
      </w:r>
      <w:r w:rsidR="00041A83">
        <w:rPr>
          <w:sz w:val="22"/>
        </w:rPr>
        <w:t>&lt;</w:t>
      </w:r>
      <w:r w:rsidR="00041A83" w:rsidRPr="00F13D45">
        <w:rPr>
          <w:sz w:val="22"/>
          <w:highlight w:val="yellow"/>
        </w:rPr>
        <w:t>amount</w:t>
      </w:r>
      <w:r w:rsidR="00041A83">
        <w:rPr>
          <w:sz w:val="22"/>
        </w:rPr>
        <w:t>&gt;</w:t>
      </w:r>
      <w:r w:rsidR="007F2301" w:rsidRPr="00764A85">
        <w:rPr>
          <w:sz w:val="22"/>
        </w:rPr>
        <w:t xml:space="preserve">. </w:t>
      </w:r>
    </w:p>
    <w:p w14:paraId="69CA2474" w14:textId="1A28C7E8"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BF0980" w:rsidRPr="00B64CBC">
        <w:rPr>
          <w:sz w:val="22"/>
        </w:rPr>
        <w:t>a</w:t>
      </w:r>
      <w:r w:rsidR="0045327B" w:rsidRPr="00B64CBC">
        <w:rPr>
          <w:sz w:val="22"/>
        </w:rPr>
        <w:t>ction</w:t>
      </w:r>
      <w:r w:rsidR="00A9034E" w:rsidRPr="00B64CBC">
        <w:rPr>
          <w:sz w:val="22"/>
        </w:rPr>
        <w:t xml:space="preserve"> </w:t>
      </w:r>
      <w:r w:rsidR="009811B2" w:rsidRPr="00764A85">
        <w:rPr>
          <w:sz w:val="22"/>
        </w:rPr>
        <w:t>specified in paragraph 1</w:t>
      </w:r>
      <w:r w:rsidR="00121C26" w:rsidRPr="00764A85">
        <w:rPr>
          <w:sz w:val="22"/>
        </w:rPr>
        <w:t>.</w:t>
      </w:r>
    </w:p>
    <w:p w14:paraId="0AE570BA"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1646A2C" w14:textId="4E78CCD0" w:rsidR="00CD0D3A" w:rsidRPr="00764A85" w:rsidRDefault="00C676C0" w:rsidP="00532286">
      <w:pPr>
        <w:spacing w:before="120"/>
        <w:ind w:left="567" w:hanging="567"/>
        <w:jc w:val="both"/>
        <w:rPr>
          <w:sz w:val="22"/>
        </w:rPr>
      </w:pPr>
      <w:r>
        <w:rPr>
          <w:sz w:val="22"/>
        </w:rPr>
        <w:t>3.3</w:t>
      </w:r>
      <w:r>
        <w:rPr>
          <w:sz w:val="22"/>
        </w:rPr>
        <w:tab/>
      </w:r>
      <w:r w:rsidR="00CD0D3A" w:rsidRPr="00B64CBC">
        <w:rPr>
          <w:sz w:val="22"/>
        </w:rPr>
        <w:t>Pursuant to Article 14.</w:t>
      </w:r>
      <w:r w:rsidR="007665B9" w:rsidRPr="00B64CBC">
        <w:rPr>
          <w:sz w:val="22"/>
        </w:rPr>
        <w:t>8</w:t>
      </w:r>
      <w:r w:rsidR="00CD0D3A" w:rsidRPr="00B64CBC">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B64CBC">
        <w:rPr>
          <w:sz w:val="22"/>
        </w:rPr>
        <w:t xml:space="preserve">&gt;% of the final </w:t>
      </w:r>
      <w:r w:rsidR="00272880" w:rsidRPr="00B64CBC">
        <w:rPr>
          <w:sz w:val="22"/>
        </w:rPr>
        <w:t>amount of direct eligible costs</w:t>
      </w:r>
      <w:r w:rsidR="00C81A9D" w:rsidRPr="00B64CBC">
        <w:rPr>
          <w:sz w:val="22"/>
        </w:rPr>
        <w:t xml:space="preserve"> </w:t>
      </w:r>
      <w:r w:rsidR="00CD0D3A" w:rsidRPr="00B64CBC">
        <w:rPr>
          <w:sz w:val="22"/>
        </w:rPr>
        <w:t xml:space="preserve">of the </w:t>
      </w:r>
      <w:r w:rsidR="00BF0980" w:rsidRPr="00B64CBC">
        <w:rPr>
          <w:sz w:val="22"/>
        </w:rPr>
        <w:t>a</w:t>
      </w:r>
      <w:r w:rsidR="00CD0D3A" w:rsidRPr="00B64CBC">
        <w:rPr>
          <w:sz w:val="22"/>
        </w:rPr>
        <w:t>ction established in accordance with Articles 14 and 17 of Annex II, may be claimed as indirect costs.</w:t>
      </w:r>
      <w:r w:rsidR="00F30DCF" w:rsidRPr="00764A85">
        <w:rPr>
          <w:sz w:val="22"/>
        </w:rPr>
        <w:t xml:space="preserve"> </w:t>
      </w:r>
    </w:p>
    <w:p w14:paraId="0449CC1E"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1E283BDF"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14:paraId="088D95FE" w14:textId="77777777" w:rsidR="00C45615" w:rsidRPr="00764A85" w:rsidRDefault="00C45615" w:rsidP="00764A85">
      <w:pPr>
        <w:keepNext/>
        <w:keepLines/>
        <w:spacing w:before="120"/>
        <w:ind w:left="567" w:hanging="567"/>
        <w:jc w:val="both"/>
        <w:rPr>
          <w:sz w:val="22"/>
        </w:rPr>
      </w:pPr>
    </w:p>
    <w:p w14:paraId="3ABFD966" w14:textId="77777777"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6D03EF03" w14:textId="5AECE95D"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B479BA" w:rsidRPr="00B64CBC">
        <w:rPr>
          <w:sz w:val="22"/>
        </w:rPr>
        <w:t>EUR</w:t>
      </w:r>
      <w:r w:rsidR="00041A83">
        <w:rPr>
          <w:sz w:val="22"/>
        </w:rPr>
        <w:t>&lt;</w:t>
      </w:r>
      <w:r w:rsidR="00041A83" w:rsidRPr="00F13D45">
        <w:rPr>
          <w:sz w:val="22"/>
          <w:highlight w:val="yellow"/>
        </w:rPr>
        <w:t>amount</w:t>
      </w:r>
      <w:r w:rsidR="00041A83">
        <w:rPr>
          <w:sz w:val="22"/>
        </w:rPr>
        <w:t>&gt;.</w:t>
      </w:r>
    </w:p>
    <w:p w14:paraId="4AF53D3A" w14:textId="77777777" w:rsidR="00846B5A" w:rsidRDefault="00BA65FC" w:rsidP="00532286">
      <w:pPr>
        <w:pStyle w:val="Text1"/>
        <w:spacing w:before="120" w:after="0"/>
        <w:ind w:left="567"/>
        <w:jc w:val="both"/>
        <w:rPr>
          <w:b/>
          <w:sz w:val="22"/>
          <w:highlight w:val="yellow"/>
          <w:u w:val="single"/>
        </w:rPr>
      </w:pPr>
      <w:r w:rsidRPr="00764A85">
        <w:rPr>
          <w:b/>
          <w:sz w:val="22"/>
          <w:highlight w:val="yellow"/>
          <w:u w:val="single"/>
        </w:rPr>
        <w:lastRenderedPageBreak/>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14:paraId="3D3AACB7" w14:textId="77777777"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14:paraId="0F00CFBC" w14:textId="13A9870D"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sidRPr="00B64CBC">
        <w:rPr>
          <w:sz w:val="22"/>
        </w:rPr>
        <w:t>EUR</w:t>
      </w:r>
      <w:r w:rsidR="00A9034E">
        <w:rPr>
          <w:sz w:val="22"/>
        </w:rPr>
        <w:t xml:space="preserve"> </w:t>
      </w:r>
      <w:r w:rsidR="00041A83">
        <w:rPr>
          <w:sz w:val="22"/>
        </w:rPr>
        <w:t>&lt;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2D2E1E50" w14:textId="77777777"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14:paraId="5D4DB3AF"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08F32B80" w14:textId="20A44281"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sidRPr="00B64CBC">
        <w:rPr>
          <w:sz w:val="22"/>
        </w:rPr>
        <w:t>EUR</w:t>
      </w:r>
      <w:r w:rsidR="00A9034E">
        <w:rPr>
          <w:sz w:val="22"/>
        </w:rPr>
        <w:t xml:space="preserve"> </w:t>
      </w:r>
      <w:r w:rsidR="00041A83">
        <w:rPr>
          <w:sz w:val="22"/>
        </w:rPr>
        <w:t>&lt;</w:t>
      </w:r>
      <w:r w:rsidR="00041A83" w:rsidRPr="00E87244">
        <w:rPr>
          <w:sz w:val="22"/>
          <w:highlight w:val="yellow"/>
        </w:rPr>
        <w:t>amount</w:t>
      </w:r>
      <w:r w:rsidR="00130237">
        <w:rPr>
          <w:sz w:val="22"/>
        </w:rPr>
        <w:t>&gt;</w:t>
      </w:r>
    </w:p>
    <w:p w14:paraId="73D888B1" w14:textId="11211A1B" w:rsidR="003D55B9" w:rsidRPr="00764A85" w:rsidRDefault="00D76F3A" w:rsidP="00C76959">
      <w:pPr>
        <w:spacing w:before="120"/>
        <w:ind w:left="567" w:hanging="567"/>
        <w:jc w:val="both"/>
        <w:rPr>
          <w:sz w:val="22"/>
        </w:rPr>
      </w:pPr>
      <w:r w:rsidRPr="00764A85">
        <w:rPr>
          <w:sz w:val="22"/>
        </w:rPr>
        <w:t>4.</w:t>
      </w:r>
      <w:r w:rsidR="00A9034E">
        <w:rPr>
          <w:sz w:val="22"/>
        </w:rPr>
        <w:t>1.1.</w:t>
      </w:r>
      <w:r w:rsidRPr="00764A85">
        <w:rPr>
          <w:sz w:val="22"/>
        </w:rPr>
        <w:tab/>
      </w:r>
      <w:r w:rsidR="00F9654B" w:rsidRPr="00F13D45">
        <w:rPr>
          <w:sz w:val="22"/>
          <w:highlight w:val="yellow"/>
        </w:rPr>
        <w:t>if a financial guarantee is requested:</w:t>
      </w:r>
      <w:r w:rsidR="00F9654B" w:rsidRPr="00764A85">
        <w:rPr>
          <w:b/>
          <w:sz w:val="22"/>
          <w:highlight w:val="yellow"/>
        </w:rPr>
        <w:t xml:space="preserve"> </w:t>
      </w:r>
      <w:r w:rsidR="00F9654B" w:rsidRPr="00764A85">
        <w:rPr>
          <w:b/>
          <w:sz w:val="22"/>
        </w:rPr>
        <w:t xml:space="preserve"> </w:t>
      </w:r>
      <w:r w:rsidR="00564181">
        <w:rPr>
          <w:sz w:val="22"/>
          <w:highlight w:val="lightGray"/>
        </w:rPr>
        <w:t>T</w:t>
      </w:r>
      <w:r w:rsidR="00187D68">
        <w:rPr>
          <w:sz w:val="22"/>
          <w:highlight w:val="lightGray"/>
        </w:rPr>
        <w:t>he f</w:t>
      </w:r>
      <w:r>
        <w:rPr>
          <w:sz w:val="22"/>
          <w:highlight w:val="lightGray"/>
        </w:rPr>
        <w:t>irst instalment of pre-financing</w:t>
      </w:r>
      <w:r w:rsidR="00F9654B">
        <w:rPr>
          <w:sz w:val="22"/>
          <w:highlight w:val="lightGray"/>
        </w:rPr>
        <w:t xml:space="preserve"> </w:t>
      </w:r>
      <w:r w:rsidR="00C60A6D">
        <w:rPr>
          <w:sz w:val="22"/>
          <w:highlight w:val="lightGray"/>
        </w:rPr>
        <w:t xml:space="preserve">shall </w:t>
      </w:r>
      <w:r>
        <w:rPr>
          <w:sz w:val="22"/>
          <w:highlight w:val="lightGray"/>
        </w:rPr>
        <w:t xml:space="preserve">be </w:t>
      </w:r>
      <w:r w:rsidR="002C788E">
        <w:rPr>
          <w:sz w:val="22"/>
          <w:highlight w:val="lightGray"/>
        </w:rPr>
        <w:t xml:space="preserve">accompanied by </w:t>
      </w:r>
      <w:r w:rsidR="000B33DA">
        <w:rPr>
          <w:sz w:val="22"/>
          <w:highlight w:val="lightGray"/>
        </w:rPr>
        <w:t>a</w:t>
      </w:r>
      <w:r w:rsidR="002C788E">
        <w:rPr>
          <w:sz w:val="22"/>
          <w:highlight w:val="lightGray"/>
        </w:rPr>
        <w:t xml:space="preserve"> </w:t>
      </w:r>
      <w:r w:rsidR="0016570F">
        <w:rPr>
          <w:sz w:val="22"/>
          <w:highlight w:val="lightGray"/>
        </w:rPr>
        <w:t>f</w:t>
      </w:r>
      <w:r w:rsidR="002C788E">
        <w:rPr>
          <w:sz w:val="22"/>
          <w:highlight w:val="lightGray"/>
        </w:rPr>
        <w:t>inancial guarantee</w:t>
      </w:r>
      <w:r w:rsidR="00E611EF">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Pr>
          <w:sz w:val="22"/>
          <w:highlight w:val="lightGray"/>
        </w:rPr>
        <w:t>and complying with the requirements of</w:t>
      </w:r>
      <w:r w:rsidR="002C788E">
        <w:rPr>
          <w:sz w:val="22"/>
          <w:highlight w:val="lightGray"/>
        </w:rPr>
        <w:t xml:space="preserve"> </w:t>
      </w:r>
      <w:r w:rsidR="00C60A6D">
        <w:rPr>
          <w:sz w:val="22"/>
          <w:highlight w:val="lightGray"/>
        </w:rPr>
        <w:t xml:space="preserve">Article </w:t>
      </w:r>
      <w:r w:rsidR="00DC1882">
        <w:rPr>
          <w:sz w:val="22"/>
          <w:highlight w:val="lightGray"/>
        </w:rPr>
        <w:t>1</w:t>
      </w:r>
      <w:r w:rsidR="00E4647C">
        <w:rPr>
          <w:sz w:val="22"/>
          <w:highlight w:val="lightGray"/>
        </w:rPr>
        <w:t>5</w:t>
      </w:r>
      <w:r w:rsidR="00DC1882">
        <w:rPr>
          <w:sz w:val="22"/>
          <w:highlight w:val="lightGray"/>
        </w:rPr>
        <w:t>.8</w:t>
      </w:r>
      <w:r w:rsidR="002C788E">
        <w:rPr>
          <w:sz w:val="22"/>
          <w:highlight w:val="lightGray"/>
        </w:rPr>
        <w:t xml:space="preserve"> of </w:t>
      </w:r>
      <w:r w:rsidR="00E4647C">
        <w:rPr>
          <w:sz w:val="22"/>
          <w:highlight w:val="lightGray"/>
        </w:rPr>
        <w:t>Annex II</w:t>
      </w:r>
      <w:r w:rsidR="0063259A" w:rsidRPr="00764A85">
        <w:rPr>
          <w:sz w:val="22"/>
        </w:rPr>
        <w:t>.</w:t>
      </w:r>
    </w:p>
    <w:p w14:paraId="2E3916AF" w14:textId="42C4AF35" w:rsidR="006E56F9" w:rsidRPr="00B64CBC" w:rsidRDefault="00A9034E" w:rsidP="006E56F9">
      <w:pPr>
        <w:pStyle w:val="Text1"/>
        <w:tabs>
          <w:tab w:val="left" w:pos="567"/>
        </w:tabs>
        <w:spacing w:before="120" w:after="0"/>
        <w:ind w:left="567" w:hanging="567"/>
        <w:jc w:val="both"/>
        <w:rPr>
          <w:sz w:val="22"/>
          <w:szCs w:val="22"/>
        </w:rPr>
      </w:pPr>
      <w:r w:rsidRPr="00764A85" w:rsidDel="00A9034E">
        <w:rPr>
          <w:sz w:val="22"/>
        </w:rPr>
        <w:t xml:space="preserve"> </w:t>
      </w:r>
      <w:r w:rsidR="006E56F9" w:rsidRPr="00764A85">
        <w:rPr>
          <w:sz w:val="22"/>
        </w:rPr>
        <w:t>4.</w:t>
      </w:r>
      <w:r>
        <w:rPr>
          <w:sz w:val="22"/>
        </w:rPr>
        <w:t xml:space="preserve">1.2. </w:t>
      </w:r>
      <w:r w:rsidR="006E56F9" w:rsidRPr="00764A85">
        <w:rPr>
          <w:sz w:val="22"/>
        </w:rPr>
        <w:tab/>
      </w:r>
      <w:r w:rsidR="006E56F9" w:rsidRPr="00B64CBC">
        <w:rPr>
          <w:sz w:val="22"/>
          <w:szCs w:val="22"/>
          <w:lang w:eastAsia="en-GB"/>
        </w:rPr>
        <w:t>In relation to Article 2 of Annex II, t</w:t>
      </w:r>
      <w:r w:rsidR="006E56F9" w:rsidRPr="00B64CBC">
        <w:rPr>
          <w:sz w:val="22"/>
          <w:szCs w:val="22"/>
        </w:rPr>
        <w:t xml:space="preserve">he Beneficiaries shall submit reports on the achievement of </w:t>
      </w:r>
      <w:r w:rsidRPr="00B64CBC">
        <w:rPr>
          <w:sz w:val="22"/>
          <w:szCs w:val="22"/>
        </w:rPr>
        <w:t xml:space="preserve">  </w:t>
      </w:r>
      <w:r w:rsidR="006E56F9" w:rsidRPr="00B64CBC">
        <w:rPr>
          <w:sz w:val="22"/>
          <w:szCs w:val="22"/>
        </w:rPr>
        <w:t xml:space="preserve">indicators according to the following schedule: </w:t>
      </w:r>
    </w:p>
    <w:p w14:paraId="5F280D5E" w14:textId="77777777" w:rsidR="006E56F9" w:rsidRPr="00B64CBC" w:rsidRDefault="006E56F9" w:rsidP="006E56F9">
      <w:pPr>
        <w:pStyle w:val="Text1"/>
        <w:numPr>
          <w:ilvl w:val="0"/>
          <w:numId w:val="18"/>
        </w:numPr>
        <w:tabs>
          <w:tab w:val="left" w:pos="567"/>
        </w:tabs>
        <w:spacing w:before="120" w:after="0"/>
        <w:jc w:val="both"/>
        <w:rPr>
          <w:sz w:val="22"/>
          <w:szCs w:val="22"/>
        </w:rPr>
      </w:pPr>
      <w:r w:rsidRPr="00B64CBC">
        <w:rPr>
          <w:sz w:val="22"/>
          <w:szCs w:val="22"/>
        </w:rPr>
        <w:t xml:space="preserve">31 March </w:t>
      </w:r>
    </w:p>
    <w:p w14:paraId="1E95A82A" w14:textId="77777777" w:rsidR="006E56F9" w:rsidRPr="00B64CBC" w:rsidRDefault="006E56F9" w:rsidP="006E56F9">
      <w:pPr>
        <w:pStyle w:val="Text1"/>
        <w:numPr>
          <w:ilvl w:val="0"/>
          <w:numId w:val="18"/>
        </w:numPr>
        <w:tabs>
          <w:tab w:val="left" w:pos="567"/>
        </w:tabs>
        <w:spacing w:before="120" w:after="0"/>
        <w:jc w:val="both"/>
        <w:rPr>
          <w:sz w:val="22"/>
          <w:szCs w:val="22"/>
        </w:rPr>
      </w:pPr>
      <w:r w:rsidRPr="00B64CBC">
        <w:rPr>
          <w:sz w:val="22"/>
          <w:szCs w:val="22"/>
        </w:rPr>
        <w:t>30 June</w:t>
      </w:r>
    </w:p>
    <w:p w14:paraId="6E612501" w14:textId="77777777" w:rsidR="006E56F9" w:rsidRPr="00B64CBC" w:rsidRDefault="006E56F9" w:rsidP="006E56F9">
      <w:pPr>
        <w:pStyle w:val="Text1"/>
        <w:numPr>
          <w:ilvl w:val="0"/>
          <w:numId w:val="18"/>
        </w:numPr>
        <w:tabs>
          <w:tab w:val="left" w:pos="567"/>
        </w:tabs>
        <w:spacing w:before="120" w:after="0"/>
        <w:jc w:val="both"/>
        <w:rPr>
          <w:sz w:val="22"/>
          <w:szCs w:val="22"/>
        </w:rPr>
      </w:pPr>
      <w:r w:rsidRPr="00B64CBC">
        <w:rPr>
          <w:sz w:val="22"/>
          <w:szCs w:val="22"/>
        </w:rPr>
        <w:t>30 September</w:t>
      </w:r>
    </w:p>
    <w:p w14:paraId="1FD577B9" w14:textId="77777777" w:rsidR="006E56F9" w:rsidRPr="00B64CBC" w:rsidRDefault="006E56F9" w:rsidP="006E56F9">
      <w:pPr>
        <w:pStyle w:val="Text1"/>
        <w:numPr>
          <w:ilvl w:val="0"/>
          <w:numId w:val="18"/>
        </w:numPr>
        <w:tabs>
          <w:tab w:val="left" w:pos="567"/>
        </w:tabs>
        <w:spacing w:before="120" w:after="0"/>
        <w:jc w:val="both"/>
        <w:rPr>
          <w:sz w:val="22"/>
          <w:szCs w:val="22"/>
        </w:rPr>
      </w:pPr>
      <w:r w:rsidRPr="00B64CBC">
        <w:rPr>
          <w:sz w:val="22"/>
          <w:szCs w:val="22"/>
        </w:rPr>
        <w:t>31 December</w:t>
      </w:r>
    </w:p>
    <w:p w14:paraId="5B5EBE76" w14:textId="2FA500E0" w:rsidR="006E56F9" w:rsidRPr="00F3210B" w:rsidRDefault="006E56F9" w:rsidP="006E56F9">
      <w:pPr>
        <w:pStyle w:val="Text1"/>
        <w:tabs>
          <w:tab w:val="left" w:pos="567"/>
        </w:tabs>
        <w:spacing w:before="120" w:after="0"/>
        <w:ind w:left="567" w:hanging="567"/>
        <w:jc w:val="both"/>
        <w:rPr>
          <w:sz w:val="22"/>
          <w:szCs w:val="22"/>
        </w:rPr>
      </w:pPr>
      <w:r w:rsidRPr="00B64CBC">
        <w:rPr>
          <w:sz w:val="22"/>
          <w:szCs w:val="22"/>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w:t>
      </w:r>
      <w:r w:rsidR="0051075A" w:rsidRPr="00B64CBC">
        <w:rPr>
          <w:sz w:val="22"/>
          <w:szCs w:val="22"/>
        </w:rPr>
        <w:t>alidation</w:t>
      </w:r>
      <w:r w:rsidRPr="00B64CBC">
        <w:rPr>
          <w:sz w:val="22"/>
          <w:szCs w:val="22"/>
        </w:rPr>
        <w:t xml:space="preserve"> of the submitted data.</w:t>
      </w:r>
    </w:p>
    <w:p w14:paraId="6D6E4EFD" w14:textId="0E825B06" w:rsidR="00A9034E" w:rsidRDefault="006E56F9" w:rsidP="006E56F9">
      <w:pPr>
        <w:pStyle w:val="Text1"/>
        <w:tabs>
          <w:tab w:val="left" w:pos="567"/>
        </w:tabs>
        <w:spacing w:before="120" w:after="0"/>
        <w:ind w:left="567"/>
        <w:jc w:val="both"/>
        <w:rPr>
          <w:sz w:val="22"/>
          <w:szCs w:val="22"/>
        </w:rPr>
      </w:pPr>
      <w:r w:rsidRPr="00B64CBC">
        <w:rPr>
          <w:sz w:val="22"/>
          <w:szCs w:val="22"/>
        </w:rPr>
        <w:t>Contact details of the corresponding JTS of the programm</w:t>
      </w:r>
      <w:r w:rsidR="00A9034E" w:rsidRPr="00A9034E">
        <w:rPr>
          <w:sz w:val="22"/>
          <w:szCs w:val="22"/>
        </w:rPr>
        <w:t>e:</w:t>
      </w:r>
      <w:r w:rsidR="00A9034E" w:rsidRPr="00A9034E">
        <w:t xml:space="preserve"> </w:t>
      </w:r>
      <w:r w:rsidR="00A9034E" w:rsidRPr="00A9034E">
        <w:rPr>
          <w:sz w:val="22"/>
          <w:szCs w:val="22"/>
        </w:rPr>
        <w:t>office@srb-bih.org</w:t>
      </w:r>
      <w:r w:rsidR="00A9034E" w:rsidRPr="00A9034E" w:rsidDel="00A9034E">
        <w:rPr>
          <w:sz w:val="22"/>
          <w:szCs w:val="22"/>
        </w:rPr>
        <w:t xml:space="preserve"> </w:t>
      </w:r>
      <w:r w:rsidR="00A9034E">
        <w:rPr>
          <w:sz w:val="22"/>
          <w:szCs w:val="22"/>
        </w:rPr>
        <w:t>.</w:t>
      </w:r>
    </w:p>
    <w:p w14:paraId="6BC5855A" w14:textId="77777777" w:rsidR="00A9034E" w:rsidRDefault="00A9034E" w:rsidP="00A9034E">
      <w:pPr>
        <w:pStyle w:val="Text1"/>
        <w:tabs>
          <w:tab w:val="left" w:pos="567"/>
        </w:tabs>
        <w:spacing w:before="120" w:after="0"/>
        <w:ind w:left="567"/>
        <w:jc w:val="both"/>
        <w:rPr>
          <w:sz w:val="22"/>
          <w:szCs w:val="22"/>
        </w:rPr>
      </w:pPr>
      <w:r>
        <w:rPr>
          <w:sz w:val="22"/>
          <w:szCs w:val="22"/>
        </w:rPr>
        <w:t xml:space="preserve">In relation </w:t>
      </w:r>
      <w:r w:rsidRPr="00793882">
        <w:rPr>
          <w:sz w:val="22"/>
          <w:szCs w:val="22"/>
        </w:rPr>
        <w:t xml:space="preserve">to Article 2 of Annex II, the Beneficiaries shall </w:t>
      </w:r>
      <w:r>
        <w:rPr>
          <w:sz w:val="22"/>
          <w:szCs w:val="22"/>
        </w:rPr>
        <w:t xml:space="preserve">also </w:t>
      </w:r>
      <w:r w:rsidRPr="00793882">
        <w:rPr>
          <w:sz w:val="22"/>
          <w:szCs w:val="22"/>
        </w:rPr>
        <w:t>submit</w:t>
      </w:r>
      <w:r>
        <w:rPr>
          <w:sz w:val="22"/>
          <w:szCs w:val="22"/>
        </w:rPr>
        <w:t xml:space="preserve"> progress report to CA according to the </w:t>
      </w:r>
      <w:r w:rsidRPr="00117A18">
        <w:rPr>
          <w:sz w:val="22"/>
          <w:szCs w:val="22"/>
        </w:rPr>
        <w:t xml:space="preserve">following schedule:  </w:t>
      </w:r>
    </w:p>
    <w:p w14:paraId="1399CBF4" w14:textId="77777777" w:rsidR="00A9034E" w:rsidRPr="00117A18" w:rsidRDefault="00A9034E" w:rsidP="00A9034E">
      <w:pPr>
        <w:pStyle w:val="Text1"/>
        <w:numPr>
          <w:ilvl w:val="0"/>
          <w:numId w:val="18"/>
        </w:numPr>
        <w:rPr>
          <w:sz w:val="22"/>
          <w:szCs w:val="22"/>
        </w:rPr>
      </w:pPr>
      <w:r w:rsidRPr="00117A18">
        <w:rPr>
          <w:sz w:val="22"/>
          <w:szCs w:val="22"/>
        </w:rPr>
        <w:t xml:space="preserve">31 March </w:t>
      </w:r>
    </w:p>
    <w:p w14:paraId="0E3205AB" w14:textId="77777777" w:rsidR="00A9034E" w:rsidRPr="00117A18" w:rsidRDefault="00A9034E" w:rsidP="00A9034E">
      <w:pPr>
        <w:pStyle w:val="Text1"/>
        <w:numPr>
          <w:ilvl w:val="0"/>
          <w:numId w:val="18"/>
        </w:numPr>
        <w:rPr>
          <w:sz w:val="22"/>
          <w:szCs w:val="22"/>
        </w:rPr>
      </w:pPr>
      <w:r w:rsidRPr="00117A18">
        <w:rPr>
          <w:sz w:val="22"/>
          <w:szCs w:val="22"/>
        </w:rPr>
        <w:t>30 June</w:t>
      </w:r>
    </w:p>
    <w:p w14:paraId="3010232D" w14:textId="77777777" w:rsidR="00A9034E" w:rsidRDefault="00A9034E" w:rsidP="00A9034E">
      <w:pPr>
        <w:pStyle w:val="Text1"/>
        <w:numPr>
          <w:ilvl w:val="0"/>
          <w:numId w:val="18"/>
        </w:numPr>
        <w:rPr>
          <w:sz w:val="22"/>
          <w:szCs w:val="22"/>
        </w:rPr>
      </w:pPr>
      <w:r w:rsidRPr="00117A18">
        <w:rPr>
          <w:sz w:val="22"/>
          <w:szCs w:val="22"/>
        </w:rPr>
        <w:t>30 September</w:t>
      </w:r>
    </w:p>
    <w:p w14:paraId="762235B5" w14:textId="77777777" w:rsidR="00A9034E" w:rsidRPr="00744702" w:rsidRDefault="00A9034E" w:rsidP="00A9034E">
      <w:pPr>
        <w:pStyle w:val="Text1"/>
        <w:numPr>
          <w:ilvl w:val="0"/>
          <w:numId w:val="18"/>
        </w:numPr>
        <w:rPr>
          <w:sz w:val="22"/>
          <w:szCs w:val="22"/>
        </w:rPr>
      </w:pPr>
      <w:r w:rsidRPr="00744702">
        <w:rPr>
          <w:sz w:val="22"/>
        </w:rPr>
        <w:t>31 December</w:t>
      </w:r>
    </w:p>
    <w:p w14:paraId="36531E1A" w14:textId="5D93427A" w:rsidR="00A9034E" w:rsidRPr="00571958" w:rsidRDefault="00A9034E" w:rsidP="00B64CBC">
      <w:pPr>
        <w:pStyle w:val="Text1"/>
        <w:tabs>
          <w:tab w:val="left" w:pos="567"/>
        </w:tabs>
        <w:spacing w:before="240" w:after="0"/>
        <w:ind w:left="567" w:hanging="567"/>
        <w:jc w:val="both"/>
        <w:rPr>
          <w:sz w:val="22"/>
        </w:rPr>
      </w:pPr>
      <w:r>
        <w:rPr>
          <w:sz w:val="22"/>
        </w:rPr>
        <w:t xml:space="preserve">          </w:t>
      </w:r>
      <w:r w:rsidRPr="00744702">
        <w:rPr>
          <w:sz w:val="22"/>
        </w:rPr>
        <w:t>The JTS shall perform monitoring visits minimum twice during the implementantion of the Contract. The monitoring visits will revolve around elements of result-oriented monitoring with the purpose to assess the quality of implementation of the project in terms of relevance, effectiveness, efficiency, sustainability, impact &amp; cross-border effect, coherence &amp; complementarity and community added value</w:t>
      </w:r>
      <w:r>
        <w:rPr>
          <w:sz w:val="22"/>
        </w:rPr>
        <w:t>, as well as to validate the data submitted by the beneficiaries in relation to the achievement of indicators.</w:t>
      </w:r>
    </w:p>
    <w:p w14:paraId="5F5763AF" w14:textId="77777777" w:rsidR="006F0546" w:rsidRDefault="006F0546" w:rsidP="00B64CBC">
      <w:pPr>
        <w:pStyle w:val="Text1"/>
        <w:tabs>
          <w:tab w:val="left" w:pos="567"/>
        </w:tabs>
        <w:spacing w:before="120" w:after="0"/>
        <w:ind w:left="0"/>
        <w:jc w:val="both"/>
        <w:rPr>
          <w:sz w:val="22"/>
        </w:rPr>
      </w:pPr>
    </w:p>
    <w:p w14:paraId="1CE4FDFB"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14:paraId="17F0353E" w14:textId="77777777" w:rsidR="00AC4A5B" w:rsidRPr="00764A85" w:rsidRDefault="00AC4A5B" w:rsidP="00AC4A5B">
      <w:pPr>
        <w:pStyle w:val="Text1"/>
        <w:tabs>
          <w:tab w:val="left" w:pos="567"/>
        </w:tabs>
        <w:spacing w:before="120" w:after="0"/>
        <w:ind w:left="567" w:hanging="567"/>
        <w:jc w:val="both"/>
        <w:rPr>
          <w:sz w:val="22"/>
        </w:rPr>
      </w:pPr>
      <w:r w:rsidRPr="00AC4A5B">
        <w:rPr>
          <w:sz w:val="22"/>
        </w:rPr>
        <w:lastRenderedPageBreak/>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753741B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63E03004" w14:textId="3D31BB77" w:rsidR="00C2718F"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37F188DE" w14:textId="77777777" w:rsidR="00A9034E" w:rsidRPr="00764A85" w:rsidRDefault="00A9034E" w:rsidP="00532286">
      <w:pPr>
        <w:spacing w:before="120"/>
        <w:ind w:left="567" w:hanging="567"/>
        <w:jc w:val="both"/>
        <w:rPr>
          <w:sz w:val="22"/>
        </w:rPr>
      </w:pPr>
    </w:p>
    <w:p w14:paraId="3703E836" w14:textId="02FF5751" w:rsidR="00A9034E" w:rsidRPr="00764A85" w:rsidRDefault="00C2718F">
      <w:pPr>
        <w:spacing w:before="120"/>
        <w:ind w:left="567"/>
        <w:jc w:val="both"/>
        <w:rPr>
          <w:sz w:val="22"/>
          <w:u w:val="single"/>
        </w:rPr>
      </w:pPr>
      <w:r w:rsidRPr="00A9034E">
        <w:rPr>
          <w:sz w:val="22"/>
          <w:u w:val="single"/>
        </w:rPr>
        <w:t xml:space="preserve">For the </w:t>
      </w:r>
      <w:r w:rsidR="00BF0980" w:rsidRPr="00A9034E">
        <w:rPr>
          <w:sz w:val="22"/>
          <w:u w:val="single"/>
        </w:rPr>
        <w:t>c</w:t>
      </w:r>
      <w:r w:rsidRPr="00A9034E">
        <w:rPr>
          <w:sz w:val="22"/>
          <w:u w:val="single"/>
        </w:rPr>
        <w:t xml:space="preserve">ontracting </w:t>
      </w:r>
      <w:r w:rsidR="00BF0980" w:rsidRPr="00A9034E">
        <w:rPr>
          <w:sz w:val="22"/>
          <w:u w:val="single"/>
        </w:rPr>
        <w:t>a</w:t>
      </w:r>
      <w:r w:rsidRPr="00A9034E">
        <w:rPr>
          <w:sz w:val="22"/>
          <w:u w:val="single"/>
        </w:rPr>
        <w:t>uthority</w:t>
      </w:r>
    </w:p>
    <w:p w14:paraId="038BB16C" w14:textId="77777777" w:rsidR="00A9034E" w:rsidRPr="00670D84" w:rsidRDefault="00A9034E" w:rsidP="00A9034E">
      <w:pPr>
        <w:spacing w:before="120"/>
        <w:ind w:left="567"/>
        <w:jc w:val="both"/>
        <w:rPr>
          <w:sz w:val="22"/>
        </w:rPr>
      </w:pPr>
      <w:r w:rsidRPr="00670D84">
        <w:rPr>
          <w:sz w:val="22"/>
        </w:rPr>
        <w:t>Ministry of Finance, Government of the Republic of Serbia</w:t>
      </w:r>
    </w:p>
    <w:p w14:paraId="21223E66" w14:textId="77777777" w:rsidR="00A9034E" w:rsidRPr="00670D84" w:rsidRDefault="00A9034E" w:rsidP="00A9034E">
      <w:pPr>
        <w:spacing w:before="120"/>
        <w:ind w:left="567"/>
        <w:jc w:val="both"/>
        <w:rPr>
          <w:sz w:val="22"/>
        </w:rPr>
      </w:pPr>
      <w:r w:rsidRPr="00670D84">
        <w:rPr>
          <w:sz w:val="22"/>
        </w:rPr>
        <w:t>Department for Contracting and Financing of EU Funded Programmes (CFCU)</w:t>
      </w:r>
    </w:p>
    <w:p w14:paraId="39C09171" w14:textId="77777777" w:rsidR="00A9034E" w:rsidRPr="00670D84" w:rsidRDefault="00A9034E" w:rsidP="00A9034E">
      <w:pPr>
        <w:spacing w:before="120"/>
        <w:ind w:left="567"/>
        <w:jc w:val="both"/>
        <w:rPr>
          <w:sz w:val="22"/>
        </w:rPr>
      </w:pPr>
      <w:r>
        <w:rPr>
          <w:sz w:val="22"/>
        </w:rPr>
        <w:t xml:space="preserve">Balkanska St, 53, </w:t>
      </w:r>
      <w:r w:rsidRPr="00670D84">
        <w:rPr>
          <w:sz w:val="22"/>
        </w:rPr>
        <w:t>Belgrade, 11000</w:t>
      </w:r>
    </w:p>
    <w:p w14:paraId="2B987358" w14:textId="77777777" w:rsidR="00A9034E" w:rsidRDefault="00A9034E" w:rsidP="00A9034E">
      <w:pPr>
        <w:spacing w:before="120"/>
        <w:ind w:left="567"/>
        <w:jc w:val="both"/>
        <w:rPr>
          <w:sz w:val="22"/>
        </w:rPr>
      </w:pPr>
      <w:r w:rsidRPr="00670D84">
        <w:rPr>
          <w:sz w:val="22"/>
        </w:rPr>
        <w:t>Republic of Serbia</w:t>
      </w:r>
      <w:r w:rsidRPr="00141F49" w:rsidDel="000A105E">
        <w:rPr>
          <w:sz w:val="22"/>
        </w:rPr>
        <w:t xml:space="preserve"> </w:t>
      </w:r>
    </w:p>
    <w:p w14:paraId="128DC1E6" w14:textId="77777777" w:rsidR="00A9034E" w:rsidRPr="00B753CD" w:rsidRDefault="00A9034E" w:rsidP="00A9034E">
      <w:pPr>
        <w:spacing w:before="120"/>
        <w:ind w:left="567"/>
        <w:jc w:val="both"/>
        <w:rPr>
          <w:sz w:val="22"/>
        </w:rPr>
      </w:pPr>
      <w:r w:rsidRPr="00B753CD">
        <w:rPr>
          <w:sz w:val="22"/>
        </w:rPr>
        <w:t>A copy of the reports referred to in Article 4.1 shall be sent to the concerned service of the European Commission, at the following address:</w:t>
      </w:r>
    </w:p>
    <w:p w14:paraId="6354609B" w14:textId="77777777" w:rsidR="00A9034E" w:rsidRDefault="00A9034E" w:rsidP="00A9034E">
      <w:pPr>
        <w:spacing w:before="120"/>
        <w:ind w:left="567"/>
        <w:jc w:val="both"/>
        <w:rPr>
          <w:sz w:val="22"/>
        </w:rPr>
      </w:pPr>
    </w:p>
    <w:p w14:paraId="370B0229" w14:textId="77777777" w:rsidR="00A9034E" w:rsidRPr="00B64CBC" w:rsidRDefault="00A9034E" w:rsidP="00A9034E">
      <w:pPr>
        <w:spacing w:before="120"/>
        <w:ind w:left="567"/>
        <w:jc w:val="both"/>
        <w:rPr>
          <w:sz w:val="22"/>
          <w:u w:val="single"/>
        </w:rPr>
      </w:pPr>
      <w:r w:rsidRPr="00B64CBC">
        <w:rPr>
          <w:sz w:val="22"/>
          <w:u w:val="single"/>
        </w:rPr>
        <w:t>Delegation of the European Union to the Republic of Serbia</w:t>
      </w:r>
    </w:p>
    <w:p w14:paraId="3C5EAF4B" w14:textId="77777777" w:rsidR="00A9034E" w:rsidRPr="00670D84" w:rsidRDefault="00A9034E" w:rsidP="00A9034E">
      <w:pPr>
        <w:spacing w:before="120"/>
        <w:ind w:left="567"/>
        <w:jc w:val="both"/>
        <w:rPr>
          <w:sz w:val="22"/>
        </w:rPr>
      </w:pPr>
      <w:r w:rsidRPr="00670D84">
        <w:rPr>
          <w:sz w:val="22"/>
        </w:rPr>
        <w:t>Vladimira Popovi</w:t>
      </w:r>
      <w:r>
        <w:rPr>
          <w:sz w:val="22"/>
        </w:rPr>
        <w:t>ć</w:t>
      </w:r>
      <w:r w:rsidRPr="00670D84">
        <w:rPr>
          <w:sz w:val="22"/>
        </w:rPr>
        <w:t>a 40, GTC Avenue block 19a</w:t>
      </w:r>
    </w:p>
    <w:p w14:paraId="1777A644" w14:textId="2CE85807" w:rsidR="00A9034E" w:rsidRDefault="00A9034E" w:rsidP="00A9034E">
      <w:pPr>
        <w:spacing w:before="120"/>
        <w:ind w:left="567"/>
        <w:jc w:val="both"/>
        <w:rPr>
          <w:sz w:val="22"/>
        </w:rPr>
      </w:pPr>
      <w:r w:rsidRPr="00670D84">
        <w:rPr>
          <w:sz w:val="22"/>
        </w:rPr>
        <w:t>11070 Belgrade, Republic of Serbia</w:t>
      </w:r>
    </w:p>
    <w:p w14:paraId="6885DD68" w14:textId="77777777" w:rsidR="00A9034E" w:rsidRPr="00670D84" w:rsidRDefault="00A9034E" w:rsidP="00A9034E">
      <w:pPr>
        <w:spacing w:before="120"/>
        <w:ind w:left="567"/>
        <w:jc w:val="both"/>
        <w:rPr>
          <w:sz w:val="22"/>
        </w:rPr>
      </w:pPr>
    </w:p>
    <w:p w14:paraId="7DDC4F05" w14:textId="02E858FB" w:rsidR="00C2718F" w:rsidRPr="00764A85" w:rsidRDefault="00A9034E" w:rsidP="00532286">
      <w:pPr>
        <w:spacing w:before="120"/>
        <w:ind w:left="567"/>
        <w:jc w:val="both"/>
        <w:rPr>
          <w:sz w:val="22"/>
        </w:rPr>
      </w:pPr>
      <w:r w:rsidRPr="00B64CBC" w:rsidDel="00A9034E">
        <w:rPr>
          <w:b/>
          <w:sz w:val="22"/>
        </w:rPr>
        <w:t xml:space="preserve"> </w:t>
      </w:r>
      <w:r w:rsidR="00C2718F" w:rsidRPr="00A9034E">
        <w:rPr>
          <w:sz w:val="22"/>
          <w:u w:val="single"/>
        </w:rPr>
        <w:t xml:space="preserve">For the </w:t>
      </w:r>
      <w:r w:rsidR="00BF0980" w:rsidRPr="00A9034E">
        <w:rPr>
          <w:sz w:val="22"/>
          <w:u w:val="single"/>
        </w:rPr>
        <w:t>c</w:t>
      </w:r>
      <w:r w:rsidR="00FB12B8" w:rsidRPr="00A9034E">
        <w:rPr>
          <w:sz w:val="22"/>
          <w:u w:val="single"/>
        </w:rPr>
        <w:t>oordinator</w:t>
      </w:r>
    </w:p>
    <w:p w14:paraId="07D06742" w14:textId="5ED7AF0C"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13633DB2" w14:textId="77777777" w:rsidR="00691020" w:rsidRPr="00764A85" w:rsidRDefault="00691020" w:rsidP="00532286">
      <w:pPr>
        <w:spacing w:before="120"/>
        <w:ind w:left="567"/>
        <w:jc w:val="both"/>
        <w:rPr>
          <w:sz w:val="22"/>
        </w:rPr>
      </w:pPr>
    </w:p>
    <w:p w14:paraId="61160CF1" w14:textId="6776F974" w:rsidR="00757FB8" w:rsidRPr="00764A85" w:rsidRDefault="00757FB8" w:rsidP="00D46EF8">
      <w:pPr>
        <w:spacing w:before="120"/>
        <w:ind w:left="567" w:hanging="567"/>
        <w:jc w:val="both"/>
        <w:rPr>
          <w:sz w:val="22"/>
        </w:rPr>
      </w:pPr>
      <w:r w:rsidRPr="00B64CBC">
        <w:rPr>
          <w:sz w:val="22"/>
        </w:rPr>
        <w:t>5.2</w:t>
      </w:r>
      <w:r w:rsidRPr="00B64CBC">
        <w:rPr>
          <w:sz w:val="22"/>
        </w:rPr>
        <w:tab/>
        <w:t xml:space="preserve">The </w:t>
      </w:r>
      <w:r w:rsidR="00886713" w:rsidRPr="00B64CBC">
        <w:rPr>
          <w:sz w:val="22"/>
        </w:rPr>
        <w:t xml:space="preserve">expenditure </w:t>
      </w:r>
      <w:r w:rsidRPr="00B64CBC">
        <w:rPr>
          <w:sz w:val="22"/>
        </w:rPr>
        <w:t xml:space="preserve">verification(s) referred to in Article </w:t>
      </w:r>
      <w:r w:rsidR="00A028CE" w:rsidRPr="00B64CBC">
        <w:rPr>
          <w:sz w:val="22"/>
        </w:rPr>
        <w:t>15</w:t>
      </w:r>
      <w:r w:rsidR="00886713" w:rsidRPr="00B64CBC">
        <w:rPr>
          <w:sz w:val="22"/>
        </w:rPr>
        <w:t>.7</w:t>
      </w:r>
      <w:r w:rsidRPr="00B64CBC">
        <w:rPr>
          <w:sz w:val="22"/>
        </w:rPr>
        <w:t xml:space="preserve"> of Annex II will be carried out </w:t>
      </w:r>
      <w:r w:rsidRPr="00764A85">
        <w:rPr>
          <w:sz w:val="22"/>
          <w:highlight w:val="yellow"/>
        </w:rPr>
        <w:t xml:space="preserve">&lt; </w:t>
      </w:r>
      <w:r w:rsidRPr="00F13D45">
        <w:rPr>
          <w:sz w:val="22"/>
          <w:highlight w:val="yellow"/>
        </w:rPr>
        <w:t>name, address, telephone and fax numbers</w:t>
      </w:r>
      <w:r w:rsidRPr="00764A85">
        <w:rPr>
          <w:i/>
          <w:sz w:val="22"/>
          <w:highlight w:val="yellow"/>
        </w:rPr>
        <w:t>&gt;</w:t>
      </w:r>
      <w:r w:rsidRPr="00764A85">
        <w:rPr>
          <w:sz w:val="22"/>
          <w:highlight w:val="yellow"/>
        </w:rPr>
        <w:t>.</w:t>
      </w:r>
    </w:p>
    <w:p w14:paraId="36FA06A5"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30DDC441"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46BEC30F"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F4E014D"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0E949B33" w14:textId="706D9776" w:rsidR="00C2718F" w:rsidRPr="00966E78" w:rsidRDefault="00C2718F" w:rsidP="00532286">
      <w:pPr>
        <w:spacing w:before="120"/>
        <w:ind w:left="1843" w:hanging="1276"/>
        <w:jc w:val="both"/>
      </w:pPr>
      <w:r w:rsidRPr="00764A85">
        <w:rPr>
          <w:sz w:val="22"/>
        </w:rPr>
        <w:t xml:space="preserve">Annex III: </w:t>
      </w:r>
      <w:r w:rsidRPr="00764A85">
        <w:rPr>
          <w:sz w:val="22"/>
        </w:rPr>
        <w:tab/>
      </w:r>
      <w:r w:rsidRPr="00B64CBC">
        <w:rPr>
          <w:sz w:val="22"/>
        </w:rPr>
        <w:t xml:space="preserve">Budget for the </w:t>
      </w:r>
      <w:r w:rsidR="00BF0980" w:rsidRPr="00B64CBC">
        <w:rPr>
          <w:sz w:val="22"/>
        </w:rPr>
        <w:t>a</w:t>
      </w:r>
      <w:r w:rsidRPr="00B64CBC">
        <w:rPr>
          <w:sz w:val="22"/>
        </w:rPr>
        <w:t>ction</w:t>
      </w:r>
      <w:r w:rsidR="00121C26" w:rsidRPr="00B64CBC">
        <w:rPr>
          <w:sz w:val="22"/>
        </w:rPr>
        <w:t xml:space="preserve"> (</w:t>
      </w:r>
      <w:r w:rsidR="00532286" w:rsidRPr="00B64CBC">
        <w:rPr>
          <w:sz w:val="22"/>
        </w:rPr>
        <w:t>works</w:t>
      </w:r>
      <w:r w:rsidR="00121C26" w:rsidRPr="00B64CBC">
        <w:rPr>
          <w:sz w:val="22"/>
        </w:rPr>
        <w:t>heets 1</w:t>
      </w:r>
      <w:r w:rsidR="003F7402" w:rsidRPr="00B64CBC">
        <w:rPr>
          <w:sz w:val="22"/>
        </w:rPr>
        <w:t>,</w:t>
      </w:r>
      <w:r w:rsidR="00410B99" w:rsidRPr="00B64CBC">
        <w:rPr>
          <w:sz w:val="22"/>
        </w:rPr>
        <w:t xml:space="preserve"> </w:t>
      </w:r>
      <w:r w:rsidR="003F7402" w:rsidRPr="00B64CBC">
        <w:rPr>
          <w:sz w:val="22"/>
        </w:rPr>
        <w:t>2</w:t>
      </w:r>
      <w:r w:rsidR="00121C26" w:rsidRPr="00B64CBC">
        <w:rPr>
          <w:sz w:val="22"/>
        </w:rPr>
        <w:t xml:space="preserve"> and 3)</w:t>
      </w:r>
    </w:p>
    <w:p w14:paraId="7612BE27" w14:textId="77777777" w:rsidR="00C2718F" w:rsidRPr="00764A85" w:rsidRDefault="00C2718F" w:rsidP="00532286">
      <w:pPr>
        <w:spacing w:before="120"/>
        <w:ind w:left="1843" w:hanging="1276"/>
        <w:jc w:val="both"/>
      </w:pPr>
      <w:r w:rsidRPr="00966E78">
        <w:rPr>
          <w:sz w:val="22"/>
        </w:rPr>
        <w:t>Annex IV:</w:t>
      </w:r>
      <w:r w:rsidRPr="00966E78">
        <w:rPr>
          <w:sz w:val="22"/>
        </w:rPr>
        <w:tab/>
      </w:r>
      <w:r w:rsidR="00334F2E" w:rsidRPr="00966E78">
        <w:rPr>
          <w:sz w:val="22"/>
        </w:rPr>
        <w:t xml:space="preserve">Procurement rules for </w:t>
      </w:r>
      <w:r w:rsidR="003C0331" w:rsidRPr="00966E78">
        <w:rPr>
          <w:sz w:val="22"/>
        </w:rPr>
        <w:t>b</w:t>
      </w:r>
      <w:r w:rsidR="00334F2E" w:rsidRPr="00966E78">
        <w:rPr>
          <w:sz w:val="22"/>
        </w:rPr>
        <w:t>eneficiary(ies)</w:t>
      </w:r>
    </w:p>
    <w:p w14:paraId="4815DB1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098239F4" w14:textId="395265BF" w:rsidR="00C2718F" w:rsidRPr="00764A85" w:rsidRDefault="00C2718F" w:rsidP="00532286">
      <w:pPr>
        <w:spacing w:before="120"/>
        <w:ind w:left="1843" w:hanging="1276"/>
        <w:jc w:val="both"/>
      </w:pPr>
      <w:r w:rsidRPr="00966E78">
        <w:rPr>
          <w:sz w:val="22"/>
        </w:rPr>
        <w:t>Annex VI:</w:t>
      </w:r>
      <w:r w:rsidRPr="00966E78">
        <w:rPr>
          <w:sz w:val="22"/>
        </w:rPr>
        <w:tab/>
      </w:r>
      <w:r w:rsidRPr="00B64CBC">
        <w:rPr>
          <w:sz w:val="22"/>
        </w:rPr>
        <w:t xml:space="preserve">Model </w:t>
      </w:r>
      <w:r w:rsidR="00A910C9" w:rsidRPr="00B64CBC">
        <w:rPr>
          <w:sz w:val="22"/>
        </w:rPr>
        <w:t>narrative and financial report</w:t>
      </w:r>
      <w:r w:rsidR="00141F49" w:rsidRPr="00966E78">
        <w:rPr>
          <w:sz w:val="22"/>
        </w:rPr>
        <w:t xml:space="preserve"> </w:t>
      </w:r>
    </w:p>
    <w:p w14:paraId="63F5F525" w14:textId="77777777" w:rsidR="00A910C9"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6DCA6C6C" w14:textId="50FA54C7" w:rsidR="00C2718F" w:rsidRDefault="00C2718F" w:rsidP="00532286">
      <w:pPr>
        <w:spacing w:before="120"/>
        <w:ind w:left="1843" w:hanging="1276"/>
        <w:jc w:val="both"/>
        <w:rPr>
          <w:b/>
          <w:sz w:val="22"/>
        </w:rPr>
      </w:pPr>
      <w:r>
        <w:rPr>
          <w:sz w:val="22"/>
          <w:highlight w:val="lightGray"/>
        </w:rPr>
        <w:t>Annex VII</w:t>
      </w:r>
      <w:r w:rsidR="00A910C9">
        <w:rPr>
          <w:sz w:val="22"/>
          <w:highlight w:val="lightGray"/>
        </w:rPr>
        <w:t>I</w:t>
      </w:r>
      <w:r>
        <w:rPr>
          <w:sz w:val="22"/>
          <w:highlight w:val="lightGray"/>
        </w:rPr>
        <w:t>:</w:t>
      </w:r>
      <w:r>
        <w:rPr>
          <w:sz w:val="22"/>
          <w:highlight w:val="lightGray"/>
        </w:rPr>
        <w:tab/>
        <w:t>Model financial guarantee</w:t>
      </w:r>
    </w:p>
    <w:p w14:paraId="09AE5F3A" w14:textId="77777777" w:rsidR="002A3E52" w:rsidRPr="002A3E52" w:rsidRDefault="002A3E52" w:rsidP="00532286">
      <w:pPr>
        <w:spacing w:before="120"/>
        <w:ind w:left="1843" w:hanging="1276"/>
        <w:jc w:val="both"/>
      </w:pPr>
      <w:r>
        <w:rPr>
          <w:sz w:val="22"/>
        </w:rPr>
        <w:t>Annex IX: Standard template for transfer of asset ownership</w:t>
      </w:r>
    </w:p>
    <w:p w14:paraId="0187EE72" w14:textId="77777777" w:rsidR="00940AF1" w:rsidRPr="0094748D" w:rsidRDefault="00940AF1" w:rsidP="0094748D">
      <w:pPr>
        <w:spacing w:before="120" w:after="120"/>
        <w:ind w:left="1843" w:hanging="1276"/>
        <w:jc w:val="both"/>
        <w:rPr>
          <w:b/>
          <w:sz w:val="22"/>
        </w:rPr>
      </w:pPr>
    </w:p>
    <w:p w14:paraId="56D32BA2" w14:textId="77777777" w:rsidR="00892ABD" w:rsidRPr="00764A85" w:rsidRDefault="00C2718F" w:rsidP="00532286">
      <w:pPr>
        <w:spacing w:before="120"/>
        <w:ind w:left="567" w:hanging="567"/>
        <w:jc w:val="both"/>
        <w:rPr>
          <w:sz w:val="22"/>
        </w:rPr>
      </w:pPr>
      <w:r w:rsidRPr="00764A85">
        <w:rPr>
          <w:sz w:val="22"/>
        </w:rPr>
        <w:lastRenderedPageBreak/>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7E3DC3BC" w14:textId="2E933BF9" w:rsidR="001A1117" w:rsidRPr="00B64CBC" w:rsidRDefault="00C2718F" w:rsidP="00764A85">
      <w:pPr>
        <w:spacing w:before="240"/>
        <w:jc w:val="both"/>
        <w:rPr>
          <w:b/>
        </w:rPr>
      </w:pPr>
      <w:r w:rsidRPr="00B64CBC">
        <w:rPr>
          <w:b/>
        </w:rPr>
        <w:t xml:space="preserve">Article 7 </w:t>
      </w:r>
      <w:r w:rsidR="00B479BA" w:rsidRPr="00B64CBC">
        <w:rPr>
          <w:b/>
        </w:rPr>
        <w:t>—</w:t>
      </w:r>
      <w:r w:rsidRPr="00B64CBC">
        <w:rPr>
          <w:b/>
        </w:rPr>
        <w:t xml:space="preserve"> Other specific conditions applying to the </w:t>
      </w:r>
      <w:r w:rsidR="00BF0980" w:rsidRPr="00B64CBC">
        <w:rPr>
          <w:b/>
        </w:rPr>
        <w:t>a</w:t>
      </w:r>
      <w:r w:rsidRPr="00B64CBC">
        <w:rPr>
          <w:b/>
        </w:rPr>
        <w:t>ction</w:t>
      </w:r>
    </w:p>
    <w:p w14:paraId="228AFF75" w14:textId="77777777" w:rsidR="001F4B18" w:rsidRDefault="001F4B18" w:rsidP="00764A85">
      <w:pPr>
        <w:spacing w:before="240"/>
        <w:jc w:val="both"/>
        <w:rPr>
          <w:sz w:val="22"/>
          <w:highlight w:val="lightGray"/>
        </w:rPr>
      </w:pPr>
    </w:p>
    <w:p w14:paraId="4976DE3B" w14:textId="77777777" w:rsidR="00C2718F" w:rsidRDefault="00C2718F" w:rsidP="00532286">
      <w:pPr>
        <w:spacing w:before="120"/>
        <w:ind w:left="567" w:hanging="567"/>
        <w:jc w:val="both"/>
        <w:rPr>
          <w:sz w:val="22"/>
          <w:highlight w:val="lightGray"/>
        </w:rPr>
      </w:pPr>
      <w:r w:rsidRPr="00B64CBC">
        <w:rPr>
          <w:sz w:val="22"/>
        </w:rPr>
        <w:t>7.1</w:t>
      </w:r>
      <w:r w:rsidRPr="00B64CBC">
        <w:rPr>
          <w:sz w:val="22"/>
        </w:rPr>
        <w:tab/>
        <w:t xml:space="preserve">The </w:t>
      </w:r>
      <w:r w:rsidR="00BF0980" w:rsidRPr="00B64CBC">
        <w:rPr>
          <w:sz w:val="22"/>
        </w:rPr>
        <w:t>g</w:t>
      </w:r>
      <w:r w:rsidRPr="00B64CBC">
        <w:rPr>
          <w:sz w:val="22"/>
        </w:rPr>
        <w:t xml:space="preserve">eneral </w:t>
      </w:r>
      <w:r w:rsidR="00BF0980" w:rsidRPr="00B64CBC">
        <w:rPr>
          <w:sz w:val="22"/>
        </w:rPr>
        <w:t>c</w:t>
      </w:r>
      <w:r w:rsidRPr="00B64CBC">
        <w:rPr>
          <w:sz w:val="22"/>
        </w:rPr>
        <w:t xml:space="preserve">onditions </w:t>
      </w:r>
      <w:r w:rsidR="007B51F1" w:rsidRPr="00B64CBC">
        <w:rPr>
          <w:sz w:val="22"/>
        </w:rPr>
        <w:t xml:space="preserve">in Annex II </w:t>
      </w:r>
      <w:r w:rsidRPr="00B64CBC">
        <w:rPr>
          <w:sz w:val="22"/>
        </w:rPr>
        <w:t>are supplemented by the following:</w:t>
      </w:r>
    </w:p>
    <w:p w14:paraId="70385625"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3C4DCC0B" w14:textId="61708597" w:rsidR="0056522D" w:rsidRDefault="00D46EF8" w:rsidP="00D46EF8">
      <w:pPr>
        <w:spacing w:before="120"/>
        <w:ind w:left="567" w:hanging="567"/>
        <w:jc w:val="both"/>
        <w:rPr>
          <w:sz w:val="22"/>
          <w:highlight w:val="lightGray"/>
        </w:rPr>
      </w:pPr>
      <w:r>
        <w:rPr>
          <w:sz w:val="22"/>
          <w:highlight w:val="lightGray"/>
        </w:rPr>
        <w:t>7.1.x</w:t>
      </w:r>
      <w:r>
        <w:rPr>
          <w:sz w:val="22"/>
          <w:highlight w:val="lightGray"/>
        </w:rPr>
        <w:tab/>
      </w:r>
      <w:r w:rsidR="0056522D">
        <w:rPr>
          <w:sz w:val="22"/>
          <w:highlight w:val="lightGray"/>
        </w:rPr>
        <w:t>For the purpose of this agreement, the following legal entities are considered as affiliated entities:</w:t>
      </w:r>
    </w:p>
    <w:p w14:paraId="0F998C8E" w14:textId="77777777" w:rsidR="0056522D" w:rsidRDefault="0056522D" w:rsidP="00D46EF8">
      <w:pPr>
        <w:spacing w:before="120"/>
        <w:ind w:left="851"/>
        <w:jc w:val="both"/>
        <w:rPr>
          <w:sz w:val="22"/>
          <w:highlight w:val="lightGray"/>
        </w:rPr>
      </w:pPr>
      <w:r>
        <w:rPr>
          <w:sz w:val="22"/>
          <w:highlight w:val="lightGray"/>
        </w:rPr>
        <w:t xml:space="preserve">- </w:t>
      </w:r>
      <w:r w:rsidRPr="00764A85">
        <w:rPr>
          <w:sz w:val="22"/>
          <w:highlight w:val="yellow"/>
        </w:rPr>
        <w:t xml:space="preserve">&lt;name of the legal entity&gt;, </w:t>
      </w:r>
      <w:r>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10B1CCCD" w14:textId="77777777" w:rsidR="0056522D" w:rsidRDefault="0056522D" w:rsidP="00D46EF8">
      <w:pPr>
        <w:spacing w:before="120"/>
        <w:ind w:left="851"/>
        <w:jc w:val="both"/>
        <w:rPr>
          <w:sz w:val="22"/>
          <w:highlight w:val="lightGray"/>
        </w:rPr>
      </w:pPr>
      <w:r>
        <w:rPr>
          <w:sz w:val="22"/>
          <w:highlight w:val="lightGray"/>
        </w:rPr>
        <w:t xml:space="preserve">-  </w:t>
      </w:r>
      <w:r w:rsidRPr="00764A85">
        <w:rPr>
          <w:sz w:val="22"/>
          <w:highlight w:val="yellow"/>
        </w:rPr>
        <w:t>&lt;name of the legal entity&gt;,</w:t>
      </w:r>
      <w:r w:rsidR="00707F09">
        <w:rPr>
          <w:sz w:val="22"/>
          <w:highlight w:val="yellow"/>
        </w:rPr>
        <w:t xml:space="preserve"> </w:t>
      </w:r>
      <w:r>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100A8435" w14:textId="77777777" w:rsidR="00237B31" w:rsidRDefault="00237B31" w:rsidP="0094748D">
      <w:pPr>
        <w:spacing w:before="240"/>
        <w:ind w:left="567"/>
        <w:jc w:val="both"/>
        <w:rPr>
          <w:sz w:val="22"/>
          <w:highlight w:val="lightGray"/>
        </w:rPr>
      </w:pPr>
      <w:r>
        <w:rPr>
          <w:sz w:val="22"/>
          <w:highlight w:val="lightGray"/>
        </w:rPr>
        <w:t xml:space="preserve">Costs incurred by these affiliated entities may be accepted as eligible, provided the entities concerned abide by all the relevant rules applicable to the </w:t>
      </w:r>
      <w:r w:rsidR="003C0331">
        <w:rPr>
          <w:sz w:val="22"/>
          <w:highlight w:val="lightGray"/>
        </w:rPr>
        <w:t>b</w:t>
      </w:r>
      <w:r>
        <w:rPr>
          <w:sz w:val="22"/>
          <w:highlight w:val="lightGray"/>
        </w:rPr>
        <w:t>eneficiary</w:t>
      </w:r>
      <w:r w:rsidR="00F74001">
        <w:rPr>
          <w:sz w:val="22"/>
          <w:highlight w:val="lightGray"/>
        </w:rPr>
        <w:t>(ies)</w:t>
      </w:r>
      <w:r>
        <w:rPr>
          <w:sz w:val="22"/>
          <w:highlight w:val="lightGray"/>
        </w:rPr>
        <w:t xml:space="preserve"> under this </w:t>
      </w:r>
      <w:r w:rsidR="00BF0980">
        <w:rPr>
          <w:sz w:val="22"/>
          <w:highlight w:val="lightGray"/>
        </w:rPr>
        <w:t>c</w:t>
      </w:r>
      <w:r>
        <w:rPr>
          <w:sz w:val="22"/>
          <w:highlight w:val="lightGray"/>
        </w:rPr>
        <w:t>ontract.</w:t>
      </w:r>
    </w:p>
    <w:p w14:paraId="54C22CF2" w14:textId="56F5C0E8" w:rsidR="00C46BA8" w:rsidRPr="00B64CBC" w:rsidRDefault="0094748D" w:rsidP="0094748D">
      <w:pPr>
        <w:tabs>
          <w:tab w:val="left" w:pos="567"/>
        </w:tabs>
        <w:spacing w:before="120"/>
        <w:ind w:left="709" w:hanging="709"/>
        <w:jc w:val="both"/>
        <w:rPr>
          <w:sz w:val="22"/>
          <w:szCs w:val="22"/>
          <w:lang w:eastAsia="en-GB"/>
        </w:rPr>
      </w:pPr>
      <w:r w:rsidRPr="00B64CBC">
        <w:rPr>
          <w:sz w:val="22"/>
        </w:rPr>
        <w:t>7.1.</w:t>
      </w:r>
      <w:r w:rsidR="00966E78" w:rsidRPr="00B64CBC">
        <w:rPr>
          <w:sz w:val="22"/>
        </w:rPr>
        <w:t>2.</w:t>
      </w:r>
      <w:r w:rsidR="00C46BA8" w:rsidRPr="00B64CBC">
        <w:rPr>
          <w:sz w:val="22"/>
        </w:rPr>
        <w:tab/>
        <w:t xml:space="preserve">VAT/ taxes, duties and charges </w:t>
      </w:r>
      <w:r w:rsidR="002A2FD5" w:rsidRPr="00B64CBC">
        <w:rPr>
          <w:sz w:val="22"/>
        </w:rPr>
        <w:t xml:space="preserve">are </w:t>
      </w:r>
      <w:r w:rsidR="00C46BA8" w:rsidRPr="00B64CBC">
        <w:rPr>
          <w:sz w:val="22"/>
          <w:szCs w:val="22"/>
          <w:lang w:eastAsia="en-GB"/>
        </w:rPr>
        <w:t>not eligible</w:t>
      </w:r>
      <w:r w:rsidR="00966E78" w:rsidRPr="00B64CBC">
        <w:rPr>
          <w:sz w:val="22"/>
          <w:szCs w:val="22"/>
          <w:lang w:eastAsia="en-GB"/>
        </w:rPr>
        <w:t>.</w:t>
      </w:r>
    </w:p>
    <w:p w14:paraId="294E360F" w14:textId="043F7C21" w:rsidR="00FB44D9" w:rsidRPr="00B64CBC" w:rsidRDefault="00966E78" w:rsidP="00D25C52">
      <w:pPr>
        <w:tabs>
          <w:tab w:val="left" w:pos="567"/>
        </w:tabs>
        <w:spacing w:before="120"/>
        <w:ind w:left="709" w:hanging="709"/>
        <w:jc w:val="both"/>
        <w:rPr>
          <w:sz w:val="22"/>
        </w:rPr>
      </w:pPr>
      <w:r w:rsidRPr="00B64CBC" w:rsidDel="00966E78">
        <w:rPr>
          <w:sz w:val="22"/>
          <w:szCs w:val="22"/>
        </w:rPr>
        <w:t xml:space="preserve"> </w:t>
      </w:r>
      <w:r w:rsidR="00B122F2" w:rsidRPr="00B64CBC">
        <w:rPr>
          <w:sz w:val="22"/>
        </w:rPr>
        <w:t>7.1.</w:t>
      </w:r>
      <w:r w:rsidRPr="00B64CBC">
        <w:rPr>
          <w:sz w:val="22"/>
        </w:rPr>
        <w:t>3.</w:t>
      </w:r>
      <w:r w:rsidR="00B122F2" w:rsidRPr="00B64CBC">
        <w:rPr>
          <w:sz w:val="22"/>
        </w:rPr>
        <w:t xml:space="preserve">Where the implementation of the </w:t>
      </w:r>
      <w:r w:rsidR="00BF0980" w:rsidRPr="00B64CBC">
        <w:rPr>
          <w:sz w:val="22"/>
        </w:rPr>
        <w:t>a</w:t>
      </w:r>
      <w:r w:rsidR="00B122F2" w:rsidRPr="00B64CBC">
        <w:rPr>
          <w:sz w:val="22"/>
        </w:rPr>
        <w:t xml:space="preserve">ction requires the setting up or the use of </w:t>
      </w:r>
      <w:r w:rsidR="00B30165" w:rsidRPr="00B64CBC">
        <w:rPr>
          <w:sz w:val="22"/>
        </w:rPr>
        <w:t xml:space="preserve">a </w:t>
      </w:r>
      <w:r w:rsidR="00DA2B80" w:rsidRPr="00B64CBC">
        <w:rPr>
          <w:sz w:val="22"/>
        </w:rPr>
        <w:t>project</w:t>
      </w:r>
      <w:r w:rsidR="00B122F2" w:rsidRPr="00B64CBC">
        <w:rPr>
          <w:sz w:val="22"/>
        </w:rPr>
        <w:t xml:space="preserve"> office, the </w:t>
      </w:r>
      <w:r w:rsidR="003C0331" w:rsidRPr="00B64CBC">
        <w:rPr>
          <w:sz w:val="22"/>
        </w:rPr>
        <w:t>b</w:t>
      </w:r>
      <w:r w:rsidR="0055234D" w:rsidRPr="00B64CBC">
        <w:rPr>
          <w:sz w:val="22"/>
        </w:rPr>
        <w:t xml:space="preserve">eneficiary(ies) </w:t>
      </w:r>
      <w:r w:rsidR="00B122F2" w:rsidRPr="00B64CBC">
        <w:rPr>
          <w:sz w:val="22"/>
        </w:rPr>
        <w:t xml:space="preserve">may declare as </w:t>
      </w:r>
      <w:r w:rsidR="00517C59" w:rsidRPr="00B64CBC">
        <w:rPr>
          <w:sz w:val="22"/>
        </w:rPr>
        <w:t xml:space="preserve">direct </w:t>
      </w:r>
      <w:r w:rsidR="00B122F2" w:rsidRPr="00B64CBC">
        <w:rPr>
          <w:sz w:val="22"/>
        </w:rPr>
        <w:t>eligible</w:t>
      </w:r>
      <w:r w:rsidR="00517C59" w:rsidRPr="00B64CBC">
        <w:rPr>
          <w:sz w:val="22"/>
        </w:rPr>
        <w:t xml:space="preserve"> costs</w:t>
      </w:r>
      <w:r w:rsidR="00B122F2" w:rsidRPr="00B64CBC">
        <w:rPr>
          <w:sz w:val="22"/>
        </w:rPr>
        <w:t xml:space="preserve"> </w:t>
      </w:r>
      <w:r w:rsidR="00FB44D9" w:rsidRPr="00B64CBC">
        <w:rPr>
          <w:sz w:val="22"/>
        </w:rPr>
        <w:t xml:space="preserve"> the portion of the operating costs of the project office</w:t>
      </w:r>
      <w:r w:rsidR="00517C59" w:rsidRPr="00B64CBC">
        <w:rPr>
          <w:sz w:val="22"/>
        </w:rPr>
        <w:t xml:space="preserve"> described in the proposal</w:t>
      </w:r>
      <w:r w:rsidR="00FB44D9" w:rsidRPr="00B64CBC">
        <w:rPr>
          <w:sz w:val="22"/>
        </w:rPr>
        <w:t xml:space="preserve"> which corresponds to the duration of the Action</w:t>
      </w:r>
      <w:r w:rsidR="00517C59" w:rsidRPr="00B64CBC">
        <w:rPr>
          <w:sz w:val="22"/>
        </w:rPr>
        <w:t xml:space="preserve"> either based on costs actually incurred by the project office for the action or on the cost apportionment approach presented as part of the proposal. </w:t>
      </w:r>
      <w:r w:rsidR="00FB44D9" w:rsidRPr="00B64CBC">
        <w:rPr>
          <w:sz w:val="22"/>
        </w:rPr>
        <w:t xml:space="preserve"> </w:t>
      </w:r>
      <w:r w:rsidR="00FB44D9" w:rsidRPr="00B64CBC">
        <w:rPr>
          <w:sz w:val="22"/>
        </w:rPr>
        <w:tab/>
      </w:r>
      <w:r w:rsidR="00FB44D9" w:rsidRPr="00B64CBC">
        <w:rPr>
          <w:sz w:val="22"/>
        </w:rPr>
        <w:tab/>
      </w:r>
    </w:p>
    <w:p w14:paraId="387CA6E1" w14:textId="77777777" w:rsidR="00FB44D9" w:rsidRPr="00B64CBC" w:rsidRDefault="00FB44D9" w:rsidP="00A65B30">
      <w:pPr>
        <w:tabs>
          <w:tab w:val="left" w:pos="567"/>
        </w:tabs>
        <w:spacing w:before="120"/>
        <w:jc w:val="both"/>
        <w:rPr>
          <w:sz w:val="22"/>
        </w:rPr>
      </w:pPr>
    </w:p>
    <w:p w14:paraId="211ADFE1" w14:textId="77777777" w:rsidR="00C2718F" w:rsidRDefault="00C2718F" w:rsidP="00A65B30">
      <w:pPr>
        <w:tabs>
          <w:tab w:val="left" w:pos="567"/>
        </w:tabs>
        <w:spacing w:before="120"/>
        <w:ind w:left="709" w:hanging="709"/>
        <w:jc w:val="both"/>
        <w:rPr>
          <w:sz w:val="22"/>
          <w:highlight w:val="lightGray"/>
        </w:rPr>
      </w:pPr>
      <w:r w:rsidRPr="00B64CBC">
        <w:rPr>
          <w:sz w:val="22"/>
        </w:rPr>
        <w:t>7.2</w:t>
      </w:r>
      <w:r w:rsidRPr="00B64CBC">
        <w:rPr>
          <w:sz w:val="22"/>
        </w:rPr>
        <w:tab/>
        <w:t xml:space="preserve">The following derogations from </w:t>
      </w:r>
      <w:r w:rsidR="007B51F1" w:rsidRPr="00B64CBC">
        <w:rPr>
          <w:sz w:val="22"/>
        </w:rPr>
        <w:t>Annex II</w:t>
      </w:r>
      <w:r w:rsidRPr="00B64CBC">
        <w:rPr>
          <w:sz w:val="22"/>
        </w:rPr>
        <w:t xml:space="preserve"> shall apply:</w:t>
      </w:r>
    </w:p>
    <w:p w14:paraId="178403A4" w14:textId="54A51A1F" w:rsidR="00C849DD" w:rsidRPr="00B64CBC" w:rsidRDefault="00966E78" w:rsidP="00D46EF8">
      <w:pPr>
        <w:tabs>
          <w:tab w:val="left" w:pos="567"/>
          <w:tab w:val="right" w:pos="5678"/>
        </w:tabs>
        <w:autoSpaceDE w:val="0"/>
        <w:autoSpaceDN w:val="0"/>
        <w:adjustRightInd w:val="0"/>
        <w:spacing w:before="120"/>
        <w:ind w:left="567" w:hanging="567"/>
        <w:jc w:val="both"/>
        <w:rPr>
          <w:sz w:val="22"/>
          <w:szCs w:val="22"/>
          <w:lang w:eastAsia="en-GB"/>
        </w:rPr>
      </w:pPr>
      <w:r w:rsidRPr="00B64CBC" w:rsidDel="00966E78">
        <w:rPr>
          <w:sz w:val="22"/>
          <w:szCs w:val="22"/>
          <w:lang w:eastAsia="en-GB"/>
        </w:rPr>
        <w:t xml:space="preserve"> </w:t>
      </w:r>
      <w:r w:rsidR="008C49DC" w:rsidRPr="00B64CBC">
        <w:rPr>
          <w:sz w:val="22"/>
          <w:szCs w:val="22"/>
          <w:lang w:eastAsia="en-GB"/>
        </w:rPr>
        <w:t>7.</w:t>
      </w:r>
      <w:r w:rsidR="00D46EF8" w:rsidRPr="00B64CBC">
        <w:rPr>
          <w:sz w:val="22"/>
          <w:szCs w:val="22"/>
          <w:lang w:eastAsia="en-GB"/>
        </w:rPr>
        <w:t>2.</w:t>
      </w:r>
      <w:r w:rsidRPr="00B64CBC">
        <w:rPr>
          <w:sz w:val="22"/>
          <w:szCs w:val="22"/>
          <w:lang w:eastAsia="en-GB"/>
        </w:rPr>
        <w:t>1.</w:t>
      </w:r>
      <w:r w:rsidR="00E31298" w:rsidRPr="00B64CBC">
        <w:rPr>
          <w:sz w:val="22"/>
          <w:szCs w:val="22"/>
          <w:lang w:eastAsia="en-GB"/>
        </w:rPr>
        <w:tab/>
      </w:r>
      <w:r w:rsidR="00C849DD" w:rsidRPr="00B64CBC">
        <w:rPr>
          <w:sz w:val="22"/>
          <w:szCs w:val="22"/>
          <w:lang w:eastAsia="en-GB"/>
        </w:rPr>
        <w:t xml:space="preserve">By </w:t>
      </w:r>
      <w:r w:rsidR="00B479BA" w:rsidRPr="00B64CBC">
        <w:rPr>
          <w:sz w:val="22"/>
          <w:szCs w:val="22"/>
          <w:lang w:eastAsia="en-GB"/>
        </w:rPr>
        <w:t xml:space="preserve">way of </w:t>
      </w:r>
      <w:r w:rsidR="00C849DD" w:rsidRPr="00B64CBC">
        <w:rPr>
          <w:sz w:val="22"/>
          <w:szCs w:val="22"/>
          <w:lang w:eastAsia="en-GB"/>
        </w:rPr>
        <w:t>derogation from Article 15.</w:t>
      </w:r>
      <w:r w:rsidR="0040111A" w:rsidRPr="00B64CBC">
        <w:rPr>
          <w:sz w:val="22"/>
          <w:szCs w:val="22"/>
          <w:lang w:eastAsia="en-GB"/>
        </w:rPr>
        <w:t>6</w:t>
      </w:r>
      <w:r w:rsidR="00C849DD" w:rsidRPr="00B64CBC">
        <w:rPr>
          <w:sz w:val="22"/>
          <w:szCs w:val="22"/>
          <w:lang w:eastAsia="en-GB"/>
        </w:rPr>
        <w:t xml:space="preserve"> of Annex II, once the deadline laid down in Article 15.</w:t>
      </w:r>
      <w:r w:rsidR="0040111A" w:rsidRPr="00B64CBC">
        <w:rPr>
          <w:sz w:val="22"/>
          <w:szCs w:val="22"/>
          <w:lang w:eastAsia="en-GB"/>
        </w:rPr>
        <w:t>4</w:t>
      </w:r>
      <w:r w:rsidR="00C849DD" w:rsidRPr="00B64CBC">
        <w:rPr>
          <w:sz w:val="22"/>
          <w:szCs w:val="22"/>
          <w:lang w:eastAsia="en-GB"/>
        </w:rPr>
        <w:t xml:space="preserve"> has expired, the </w:t>
      </w:r>
      <w:r w:rsidR="00BF0980" w:rsidRPr="00B64CBC">
        <w:rPr>
          <w:sz w:val="22"/>
          <w:szCs w:val="22"/>
          <w:lang w:eastAsia="en-GB"/>
        </w:rPr>
        <w:t>c</w:t>
      </w:r>
      <w:r w:rsidR="004C5233" w:rsidRPr="00B64CBC">
        <w:rPr>
          <w:sz w:val="22"/>
          <w:szCs w:val="22"/>
          <w:lang w:eastAsia="en-GB"/>
        </w:rPr>
        <w:t xml:space="preserve">oordinator </w:t>
      </w:r>
      <w:r w:rsidR="00C849DD" w:rsidRPr="00B64CBC">
        <w:rPr>
          <w:sz w:val="22"/>
          <w:szCs w:val="22"/>
          <w:lang w:eastAsia="en-GB"/>
        </w:rPr>
        <w:t>shall</w:t>
      </w:r>
      <w:r w:rsidR="00F17942" w:rsidRPr="00B64CBC">
        <w:rPr>
          <w:sz w:val="22"/>
          <w:szCs w:val="22"/>
          <w:lang w:eastAsia="en-GB"/>
        </w:rPr>
        <w:t xml:space="preserve"> be entitled to late payment interest in accordance with Article 15.</w:t>
      </w:r>
      <w:r w:rsidR="0040111A" w:rsidRPr="00B64CBC">
        <w:rPr>
          <w:sz w:val="22"/>
          <w:szCs w:val="22"/>
          <w:lang w:eastAsia="en-GB"/>
        </w:rPr>
        <w:t>6</w:t>
      </w:r>
      <w:r w:rsidR="00F17942" w:rsidRPr="00B64CBC">
        <w:rPr>
          <w:sz w:val="22"/>
          <w:szCs w:val="22"/>
          <w:lang w:eastAsia="en-GB"/>
        </w:rPr>
        <w:t>. In such case, a demand must be</w:t>
      </w:r>
      <w:r w:rsidR="00111A0B" w:rsidRPr="00B64CBC">
        <w:rPr>
          <w:sz w:val="22"/>
          <w:szCs w:val="22"/>
          <w:lang w:eastAsia="en-GB"/>
        </w:rPr>
        <w:t xml:space="preserve"> submitted</w:t>
      </w:r>
      <w:r w:rsidR="00F17942" w:rsidRPr="00B64CBC">
        <w:rPr>
          <w:sz w:val="22"/>
          <w:szCs w:val="22"/>
          <w:lang w:eastAsia="en-GB"/>
        </w:rPr>
        <w:t xml:space="preserve"> </w:t>
      </w:r>
      <w:r w:rsidR="00100CB4" w:rsidRPr="00B64CBC">
        <w:rPr>
          <w:sz w:val="22"/>
          <w:szCs w:val="22"/>
        </w:rPr>
        <w:t>within two months of receiving late payment</w:t>
      </w:r>
      <w:r w:rsidR="00F17942" w:rsidRPr="00B64CBC">
        <w:rPr>
          <w:sz w:val="22"/>
          <w:szCs w:val="22"/>
        </w:rPr>
        <w:t>.</w:t>
      </w:r>
      <w:r w:rsidR="00100CB4" w:rsidRPr="00B64CBC">
        <w:rPr>
          <w:sz w:val="22"/>
          <w:szCs w:val="22"/>
          <w:lang w:eastAsia="en-GB"/>
        </w:rPr>
        <w:t xml:space="preserve"> </w:t>
      </w:r>
    </w:p>
    <w:p w14:paraId="3E8C7A4D" w14:textId="77777777"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14:paraId="4F83E372" w14:textId="63F4AAB1" w:rsidR="00966E78" w:rsidRDefault="00966E78" w:rsidP="00A237C3">
      <w:pPr>
        <w:tabs>
          <w:tab w:val="left" w:pos="-1440"/>
          <w:tab w:val="left" w:pos="-720"/>
        </w:tabs>
        <w:spacing w:before="120"/>
        <w:jc w:val="both"/>
        <w:rPr>
          <w:bCs/>
          <w:sz w:val="22"/>
        </w:rPr>
      </w:pPr>
      <w:r w:rsidRPr="00B64CBC" w:rsidDel="00966E78">
        <w:rPr>
          <w:i/>
          <w:sz w:val="22"/>
          <w:szCs w:val="22"/>
          <w:lang w:eastAsia="en-GB"/>
        </w:rPr>
        <w:t xml:space="preserve"> </w:t>
      </w:r>
      <w:r w:rsidR="00156403" w:rsidRPr="00B64CBC">
        <w:rPr>
          <w:sz w:val="22"/>
        </w:rPr>
        <w:t>7.2.</w:t>
      </w:r>
      <w:r w:rsidRPr="00B64CBC">
        <w:rPr>
          <w:sz w:val="22"/>
        </w:rPr>
        <w:t>2.</w:t>
      </w:r>
      <w:r w:rsidR="00156403" w:rsidRPr="00B64CBC">
        <w:rPr>
          <w:sz w:val="22"/>
        </w:rPr>
        <w:tab/>
        <w:t>By derogation to Article 15.9</w:t>
      </w:r>
      <w:r w:rsidR="00FA28DF" w:rsidRPr="00B64CBC">
        <w:rPr>
          <w:sz w:val="22"/>
        </w:rPr>
        <w:t xml:space="preserve"> of Annex II</w:t>
      </w:r>
      <w:r w:rsidR="00156403" w:rsidRPr="00B64CBC">
        <w:rPr>
          <w:sz w:val="22"/>
        </w:rPr>
        <w:t xml:space="preserve">, </w:t>
      </w:r>
      <w:r w:rsidR="002E3A3A" w:rsidRPr="00B64CBC">
        <w:rPr>
          <w:sz w:val="22"/>
        </w:rPr>
        <w:t>and for the purpose of reporting,</w:t>
      </w:r>
      <w:r w:rsidR="002E3A3A" w:rsidRPr="00B64CBC">
        <w:rPr>
          <w:bCs/>
          <w:sz w:val="22"/>
        </w:rPr>
        <w:t xml:space="preserve"> conversion into </w:t>
      </w:r>
      <w:r w:rsidR="002E3A3A" w:rsidRPr="00B64CBC">
        <w:rPr>
          <w:sz w:val="22"/>
        </w:rPr>
        <w:t>the</w:t>
      </w:r>
      <w:r w:rsidR="002E3A3A" w:rsidRPr="00B64CBC">
        <w:rPr>
          <w:bCs/>
          <w:sz w:val="22"/>
        </w:rPr>
        <w:t xml:space="preserve"> currency set in the </w:t>
      </w:r>
      <w:r w:rsidR="00BF0980" w:rsidRPr="00B64CBC">
        <w:rPr>
          <w:bCs/>
          <w:sz w:val="22"/>
        </w:rPr>
        <w:t>s</w:t>
      </w:r>
      <w:r w:rsidR="002E3A3A" w:rsidRPr="00B64CBC">
        <w:rPr>
          <w:bCs/>
          <w:sz w:val="22"/>
        </w:rPr>
        <w:t xml:space="preserve">pecial </w:t>
      </w:r>
      <w:r w:rsidR="00BF0980" w:rsidRPr="00B64CBC">
        <w:rPr>
          <w:bCs/>
          <w:sz w:val="22"/>
        </w:rPr>
        <w:t>c</w:t>
      </w:r>
      <w:r w:rsidR="002E3A3A" w:rsidRPr="00B64CBC">
        <w:rPr>
          <w:bCs/>
          <w:sz w:val="22"/>
        </w:rPr>
        <w:t xml:space="preserve">onditions shall be made using the </w:t>
      </w:r>
      <w:r w:rsidRPr="00966E78">
        <w:rPr>
          <w:bCs/>
          <w:sz w:val="22"/>
        </w:rPr>
        <w:t>INFOREURO exchange rate of the month when implementation of the Action begins, as defined in Article 2.2 in Special Conditions</w:t>
      </w:r>
      <w:r>
        <w:rPr>
          <w:bCs/>
          <w:sz w:val="22"/>
        </w:rPr>
        <w:t>.</w:t>
      </w:r>
    </w:p>
    <w:p w14:paraId="52B8797A" w14:textId="77777777" w:rsidR="00966E78" w:rsidRPr="003B05B4" w:rsidRDefault="00966E78" w:rsidP="00966E78">
      <w:pPr>
        <w:tabs>
          <w:tab w:val="left" w:pos="-1440"/>
          <w:tab w:val="left" w:pos="-720"/>
        </w:tabs>
        <w:spacing w:before="120"/>
        <w:jc w:val="both"/>
        <w:rPr>
          <w:sz w:val="22"/>
        </w:rPr>
      </w:pPr>
      <w:r w:rsidRPr="003B05B4">
        <w:rPr>
          <w:sz w:val="22"/>
        </w:rPr>
        <w:t xml:space="preserve">7.2.3 By way of derogation from </w:t>
      </w:r>
      <w:r w:rsidRPr="0072100C">
        <w:rPr>
          <w:sz w:val="22"/>
        </w:rPr>
        <w:t>Article 14.11 of Annex II, the following</w:t>
      </w:r>
      <w:r w:rsidRPr="003B05B4">
        <w:rPr>
          <w:sz w:val="22"/>
        </w:rPr>
        <w:t xml:space="preserve"> costs shall not be considered eligible:</w:t>
      </w:r>
    </w:p>
    <w:p w14:paraId="0A192241" w14:textId="77777777" w:rsidR="00966E78" w:rsidRPr="00070BD8" w:rsidRDefault="00966E78" w:rsidP="00966E78">
      <w:pPr>
        <w:pStyle w:val="ListParagraph"/>
        <w:numPr>
          <w:ilvl w:val="0"/>
          <w:numId w:val="19"/>
        </w:numPr>
        <w:tabs>
          <w:tab w:val="left" w:pos="-1440"/>
          <w:tab w:val="left" w:pos="-720"/>
        </w:tabs>
        <w:spacing w:before="120"/>
        <w:jc w:val="both"/>
        <w:rPr>
          <w:sz w:val="22"/>
        </w:rPr>
      </w:pPr>
      <w:r w:rsidRPr="00070BD8">
        <w:rPr>
          <w:sz w:val="22"/>
        </w:rPr>
        <w:t>debts and debt service charges (interest);</w:t>
      </w:r>
    </w:p>
    <w:p w14:paraId="0143BE6E" w14:textId="77777777" w:rsidR="00966E78" w:rsidRPr="00070BD8" w:rsidRDefault="00966E78" w:rsidP="00966E78">
      <w:pPr>
        <w:pStyle w:val="ListParagraph"/>
        <w:numPr>
          <w:ilvl w:val="0"/>
          <w:numId w:val="19"/>
        </w:numPr>
        <w:tabs>
          <w:tab w:val="left" w:pos="-1440"/>
          <w:tab w:val="left" w:pos="-720"/>
        </w:tabs>
        <w:spacing w:before="120"/>
        <w:jc w:val="both"/>
        <w:rPr>
          <w:sz w:val="22"/>
        </w:rPr>
      </w:pPr>
      <w:r w:rsidRPr="00070BD8">
        <w:rPr>
          <w:sz w:val="22"/>
        </w:rPr>
        <w:t>provisions for losses</w:t>
      </w:r>
      <w:r>
        <w:rPr>
          <w:sz w:val="22"/>
        </w:rPr>
        <w:t>, debts</w:t>
      </w:r>
      <w:r w:rsidRPr="00070BD8">
        <w:rPr>
          <w:sz w:val="22"/>
        </w:rPr>
        <w:t xml:space="preserve"> or potential future liabilities;</w:t>
      </w:r>
    </w:p>
    <w:p w14:paraId="1EED38E3" w14:textId="5DB0611C" w:rsidR="00966E78" w:rsidRDefault="00966E78" w:rsidP="00966E78">
      <w:pPr>
        <w:pStyle w:val="ListParagraph"/>
        <w:numPr>
          <w:ilvl w:val="0"/>
          <w:numId w:val="19"/>
        </w:numPr>
        <w:tabs>
          <w:tab w:val="left" w:pos="-1440"/>
          <w:tab w:val="left" w:pos="-720"/>
        </w:tabs>
        <w:spacing w:before="120"/>
        <w:jc w:val="both"/>
        <w:rPr>
          <w:sz w:val="22"/>
        </w:rPr>
      </w:pPr>
      <w:r w:rsidRPr="00070BD8">
        <w:rPr>
          <w:sz w:val="22"/>
        </w:rPr>
        <w:t>costs declared by the Beneficiary(ies) and financed by another action or work programme receiving a European Union grant (including through European Development Fund);</w:t>
      </w:r>
    </w:p>
    <w:p w14:paraId="528A67A8" w14:textId="77777777" w:rsidR="00AC259E" w:rsidRDefault="00AC259E" w:rsidP="00B64CBC">
      <w:pPr>
        <w:pStyle w:val="ListParagraph"/>
        <w:tabs>
          <w:tab w:val="left" w:pos="-1440"/>
          <w:tab w:val="left" w:pos="-720"/>
        </w:tabs>
        <w:spacing w:before="120"/>
        <w:jc w:val="both"/>
        <w:rPr>
          <w:sz w:val="22"/>
        </w:rPr>
      </w:pPr>
    </w:p>
    <w:p w14:paraId="0DAC156A" w14:textId="77777777" w:rsidR="00966E78" w:rsidRPr="00D7046E" w:rsidRDefault="00966E78" w:rsidP="00966E78">
      <w:pPr>
        <w:pStyle w:val="ListParagraph"/>
        <w:numPr>
          <w:ilvl w:val="0"/>
          <w:numId w:val="19"/>
        </w:numPr>
        <w:rPr>
          <w:sz w:val="22"/>
        </w:rPr>
      </w:pPr>
      <w:r w:rsidRPr="006D6094">
        <w:rPr>
          <w:sz w:val="22"/>
        </w:rPr>
        <w:t>purchase of land and existing buildings, except where justified by the nature of the programme in the financing decision, in which case ownership must be transferred in accordance with Article 7.5 of the general conditions of the standard grant contract, at the latest at the end of the action;</w:t>
      </w:r>
    </w:p>
    <w:p w14:paraId="1DBE4449" w14:textId="77777777" w:rsidR="00966E78" w:rsidRPr="00070BD8" w:rsidRDefault="00966E78" w:rsidP="00966E78">
      <w:pPr>
        <w:pStyle w:val="ListParagraph"/>
        <w:numPr>
          <w:ilvl w:val="0"/>
          <w:numId w:val="19"/>
        </w:numPr>
        <w:tabs>
          <w:tab w:val="left" w:pos="-1440"/>
          <w:tab w:val="left" w:pos="-720"/>
        </w:tabs>
        <w:spacing w:before="120"/>
        <w:jc w:val="both"/>
        <w:rPr>
          <w:sz w:val="22"/>
        </w:rPr>
      </w:pPr>
      <w:r w:rsidRPr="00070BD8">
        <w:rPr>
          <w:sz w:val="22"/>
        </w:rPr>
        <w:t>currency exchange losses;</w:t>
      </w:r>
    </w:p>
    <w:p w14:paraId="274E6C44" w14:textId="77777777" w:rsidR="00966E78" w:rsidRPr="00070BD8" w:rsidRDefault="00966E78" w:rsidP="00966E78">
      <w:pPr>
        <w:pStyle w:val="ListParagraph"/>
        <w:numPr>
          <w:ilvl w:val="0"/>
          <w:numId w:val="19"/>
        </w:numPr>
        <w:tabs>
          <w:tab w:val="left" w:pos="-1440"/>
          <w:tab w:val="left" w:pos="-720"/>
        </w:tabs>
        <w:spacing w:before="120"/>
        <w:jc w:val="both"/>
        <w:rPr>
          <w:sz w:val="22"/>
        </w:rPr>
      </w:pPr>
      <w:bookmarkStart w:id="0" w:name="_GoBack"/>
      <w:r>
        <w:rPr>
          <w:sz w:val="22"/>
        </w:rPr>
        <w:t>credit to third parties</w:t>
      </w:r>
      <w:r w:rsidRPr="00C84AB3">
        <w:rPr>
          <w:sz w:val="22"/>
        </w:rPr>
        <w:t>;</w:t>
      </w:r>
    </w:p>
    <w:p w14:paraId="069C3054" w14:textId="77777777" w:rsidR="00966E78" w:rsidRPr="0072100C" w:rsidRDefault="00966E78" w:rsidP="00966E78">
      <w:pPr>
        <w:pStyle w:val="ListParagraph"/>
        <w:numPr>
          <w:ilvl w:val="0"/>
          <w:numId w:val="19"/>
        </w:numPr>
        <w:tabs>
          <w:tab w:val="left" w:pos="-1440"/>
          <w:tab w:val="left" w:pos="-720"/>
        </w:tabs>
        <w:spacing w:before="120"/>
        <w:jc w:val="both"/>
        <w:rPr>
          <w:sz w:val="22"/>
        </w:rPr>
      </w:pPr>
      <w:r w:rsidRPr="0072100C">
        <w:rPr>
          <w:sz w:val="22"/>
        </w:rPr>
        <w:t>in kind contributions (except for volunteers' work);</w:t>
      </w:r>
    </w:p>
    <w:p w14:paraId="30F6CA84" w14:textId="77777777" w:rsidR="00966E78" w:rsidRPr="0072100C" w:rsidRDefault="00966E78" w:rsidP="00966E78">
      <w:pPr>
        <w:pStyle w:val="ListParagraph"/>
        <w:numPr>
          <w:ilvl w:val="0"/>
          <w:numId w:val="19"/>
        </w:numPr>
        <w:tabs>
          <w:tab w:val="left" w:pos="-1440"/>
          <w:tab w:val="left" w:pos="-720"/>
        </w:tabs>
        <w:spacing w:before="120"/>
        <w:jc w:val="both"/>
        <w:rPr>
          <w:sz w:val="22"/>
        </w:rPr>
      </w:pPr>
      <w:r w:rsidRPr="0072100C">
        <w:rPr>
          <w:sz w:val="22"/>
        </w:rPr>
        <w:t>performance-based bonuses included in costs of staff.</w:t>
      </w:r>
    </w:p>
    <w:p w14:paraId="06C3EA6F" w14:textId="77777777" w:rsidR="00966E78" w:rsidRPr="0072100C" w:rsidRDefault="00966E78" w:rsidP="00966E78">
      <w:pPr>
        <w:pStyle w:val="ListParagraph"/>
        <w:numPr>
          <w:ilvl w:val="0"/>
          <w:numId w:val="19"/>
        </w:numPr>
        <w:tabs>
          <w:tab w:val="left" w:pos="-1440"/>
          <w:tab w:val="left" w:pos="-720"/>
        </w:tabs>
        <w:spacing w:before="120"/>
        <w:jc w:val="both"/>
        <w:rPr>
          <w:sz w:val="22"/>
        </w:rPr>
      </w:pPr>
      <w:r w:rsidRPr="0072100C">
        <w:rPr>
          <w:sz w:val="22"/>
        </w:rPr>
        <w:t>fines, financial penalties and expenses of litigation</w:t>
      </w:r>
    </w:p>
    <w:p w14:paraId="25055032" w14:textId="6757E57B" w:rsidR="00966E78" w:rsidRDefault="00966E78" w:rsidP="00966E78">
      <w:pPr>
        <w:pStyle w:val="ListParagraph"/>
        <w:numPr>
          <w:ilvl w:val="0"/>
          <w:numId w:val="19"/>
        </w:numPr>
        <w:tabs>
          <w:tab w:val="left" w:pos="-1440"/>
          <w:tab w:val="left" w:pos="-720"/>
        </w:tabs>
        <w:spacing w:before="120"/>
        <w:jc w:val="both"/>
        <w:rPr>
          <w:sz w:val="22"/>
        </w:rPr>
      </w:pPr>
      <w:r w:rsidRPr="0072100C">
        <w:rPr>
          <w:sz w:val="22"/>
        </w:rPr>
        <w:t>negative interest charged by banks or other financial institutions</w:t>
      </w:r>
      <w:r w:rsidRPr="001542E6">
        <w:rPr>
          <w:sz w:val="22"/>
        </w:rPr>
        <w:t>.</w:t>
      </w:r>
    </w:p>
    <w:bookmarkEnd w:id="0"/>
    <w:p w14:paraId="320B7F38" w14:textId="77777777" w:rsidR="00AC259E" w:rsidRPr="001542E6" w:rsidRDefault="00AC259E" w:rsidP="00B64CBC">
      <w:pPr>
        <w:pStyle w:val="ListParagraph"/>
        <w:tabs>
          <w:tab w:val="left" w:pos="-1440"/>
          <w:tab w:val="left" w:pos="-720"/>
        </w:tabs>
        <w:spacing w:before="120"/>
        <w:jc w:val="both"/>
        <w:rPr>
          <w:sz w:val="22"/>
        </w:rPr>
      </w:pPr>
    </w:p>
    <w:p w14:paraId="57E26245" w14:textId="77777777" w:rsidR="00966E78" w:rsidRDefault="00966E78" w:rsidP="00966E78">
      <w:pPr>
        <w:tabs>
          <w:tab w:val="left" w:pos="-1440"/>
          <w:tab w:val="left" w:pos="-720"/>
        </w:tabs>
        <w:spacing w:before="120"/>
        <w:jc w:val="both"/>
        <w:rPr>
          <w:sz w:val="22"/>
        </w:rPr>
      </w:pPr>
      <w:r>
        <w:rPr>
          <w:sz w:val="22"/>
        </w:rPr>
        <w:t>7.2.4</w:t>
      </w:r>
      <w:r w:rsidRPr="003B05B4">
        <w:rPr>
          <w:sz w:val="22"/>
        </w:rPr>
        <w:t xml:space="preserve"> By w</w:t>
      </w:r>
      <w:r>
        <w:rPr>
          <w:sz w:val="22"/>
        </w:rPr>
        <w:t>ay of derogation from Article 15.4</w:t>
      </w:r>
      <w:r w:rsidRPr="003B05B4">
        <w:rPr>
          <w:sz w:val="22"/>
        </w:rPr>
        <w:t xml:space="preserve"> of Annex II, the following</w:t>
      </w:r>
      <w:r>
        <w:rPr>
          <w:sz w:val="22"/>
        </w:rPr>
        <w:t xml:space="preserve"> </w:t>
      </w:r>
      <w:r w:rsidRPr="003F4894">
        <w:rPr>
          <w:sz w:val="22"/>
        </w:rPr>
        <w:t>shall apply:</w:t>
      </w:r>
    </w:p>
    <w:p w14:paraId="22E0D9EE" w14:textId="77777777" w:rsidR="00966E78" w:rsidRDefault="00966E78" w:rsidP="00966E78">
      <w:pPr>
        <w:pStyle w:val="Default"/>
        <w:spacing w:before="120"/>
        <w:jc w:val="both"/>
        <w:rPr>
          <w:sz w:val="22"/>
          <w:szCs w:val="22"/>
        </w:rPr>
      </w:pPr>
      <w:r>
        <w:rPr>
          <w:sz w:val="22"/>
          <w:szCs w:val="22"/>
        </w:rPr>
        <w:t xml:space="preserve">The initial pre-financing payment shall be made within 30 days of receipt of the payment request by the contracting authority. </w:t>
      </w:r>
    </w:p>
    <w:p w14:paraId="27154DFD" w14:textId="77777777" w:rsidR="00966E78" w:rsidRPr="00DF6781" w:rsidRDefault="00966E78" w:rsidP="00966E78">
      <w:pPr>
        <w:spacing w:before="120"/>
        <w:jc w:val="both"/>
        <w:rPr>
          <w:iCs/>
          <w:lang w:val="en-US"/>
        </w:rPr>
      </w:pPr>
      <w:r w:rsidRPr="00DF6781">
        <w:rPr>
          <w:iCs/>
          <w:sz w:val="22"/>
          <w:szCs w:val="22"/>
          <w:lang w:val="en-US"/>
        </w:rPr>
        <w:t xml:space="preserve">In cases when Coordinator </w:t>
      </w:r>
      <w:r w:rsidRPr="00DF6781">
        <w:rPr>
          <w:sz w:val="22"/>
          <w:szCs w:val="22"/>
        </w:rPr>
        <w:t>specifies a later date for</w:t>
      </w:r>
      <w:r w:rsidRPr="00DF6781">
        <w:rPr>
          <w:iCs/>
          <w:sz w:val="22"/>
          <w:szCs w:val="22"/>
          <w:lang w:val="en-US"/>
        </w:rPr>
        <w:t xml:space="preserve"> the start of implementation of the Action </w:t>
      </w:r>
      <w:r w:rsidRPr="00DF6781">
        <w:rPr>
          <w:sz w:val="22"/>
          <w:szCs w:val="22"/>
        </w:rPr>
        <w:t xml:space="preserve">stipulated </w:t>
      </w:r>
      <w:r w:rsidRPr="00DF6781">
        <w:rPr>
          <w:iCs/>
          <w:sz w:val="22"/>
          <w:szCs w:val="22"/>
          <w:lang w:val="en-US"/>
        </w:rPr>
        <w:t xml:space="preserve">in article 2.2 of special conditions, </w:t>
      </w:r>
      <w:r w:rsidRPr="00DF6781">
        <w:rPr>
          <w:sz w:val="22"/>
          <w:szCs w:val="22"/>
        </w:rPr>
        <w:t>initial</w:t>
      </w:r>
      <w:r w:rsidRPr="00DF6781">
        <w:rPr>
          <w:iCs/>
          <w:sz w:val="22"/>
          <w:szCs w:val="22"/>
          <w:lang w:val="en-US"/>
        </w:rPr>
        <w:t xml:space="preserve"> pre-financing payment shall be made within 30 days of the implementation start date </w:t>
      </w:r>
      <w:r w:rsidRPr="00DF6781">
        <w:rPr>
          <w:sz w:val="22"/>
          <w:szCs w:val="22"/>
        </w:rPr>
        <w:t>specified</w:t>
      </w:r>
      <w:r w:rsidRPr="00DF6781">
        <w:rPr>
          <w:iCs/>
          <w:sz w:val="22"/>
          <w:szCs w:val="22"/>
          <w:lang w:val="en-US"/>
        </w:rPr>
        <w:t xml:space="preserve"> in article 2.2 of special conditions, where the signed contract serves as payment request</w:t>
      </w:r>
      <w:r w:rsidRPr="00DF6781">
        <w:rPr>
          <w:lang w:val="en-US"/>
        </w:rPr>
        <w:t>.</w:t>
      </w:r>
    </w:p>
    <w:p w14:paraId="775DA42B" w14:textId="77777777" w:rsidR="00966E78" w:rsidRDefault="00966E78" w:rsidP="00966E78">
      <w:pPr>
        <w:pStyle w:val="Default"/>
        <w:spacing w:before="120"/>
        <w:jc w:val="both"/>
        <w:rPr>
          <w:sz w:val="22"/>
          <w:szCs w:val="22"/>
        </w:rPr>
      </w:pPr>
      <w:r>
        <w:rPr>
          <w:sz w:val="22"/>
          <w:szCs w:val="22"/>
        </w:rPr>
        <w:t xml:space="preserve">Further pre-financing payments and payments of the balance shall be made within 60 days of receipt of the payment request by the contracting authority. </w:t>
      </w:r>
    </w:p>
    <w:p w14:paraId="5E700DD7" w14:textId="77777777" w:rsidR="00966E78" w:rsidRDefault="00966E78" w:rsidP="00966E78">
      <w:pPr>
        <w:pStyle w:val="Default"/>
        <w:spacing w:before="120"/>
        <w:jc w:val="both"/>
        <w:rPr>
          <w:sz w:val="22"/>
          <w:szCs w:val="22"/>
        </w:rPr>
      </w:pPr>
      <w:r>
        <w:rPr>
          <w:sz w:val="22"/>
          <w:szCs w:val="22"/>
        </w:rPr>
        <w:t xml:space="preserve">However, further pre-financing payments and payments of the balance shall be made within 90 days of receipt of the payment request by the contracting authority in any of the following cases: </w:t>
      </w:r>
    </w:p>
    <w:p w14:paraId="0BCFD3A4" w14:textId="77777777" w:rsidR="00966E78" w:rsidRDefault="00966E78" w:rsidP="00966E78">
      <w:pPr>
        <w:pStyle w:val="Default"/>
        <w:spacing w:before="120"/>
        <w:ind w:left="714" w:hanging="357"/>
        <w:jc w:val="both"/>
        <w:rPr>
          <w:sz w:val="22"/>
          <w:szCs w:val="22"/>
        </w:rPr>
      </w:pPr>
      <w:r>
        <w:rPr>
          <w:sz w:val="22"/>
          <w:szCs w:val="22"/>
        </w:rPr>
        <w:t xml:space="preserve">a) one beneficiary with affiliated entity(ies); </w:t>
      </w:r>
    </w:p>
    <w:p w14:paraId="3EF6E896" w14:textId="77777777" w:rsidR="00966E78" w:rsidRDefault="00966E78" w:rsidP="00966E78">
      <w:pPr>
        <w:pStyle w:val="Default"/>
        <w:spacing w:before="120"/>
        <w:ind w:left="714" w:hanging="357"/>
        <w:jc w:val="both"/>
        <w:rPr>
          <w:sz w:val="22"/>
          <w:szCs w:val="22"/>
        </w:rPr>
      </w:pPr>
      <w:r>
        <w:rPr>
          <w:sz w:val="22"/>
          <w:szCs w:val="22"/>
        </w:rPr>
        <w:t xml:space="preserve">b) if more than one beneficiary is party to this contract; </w:t>
      </w:r>
    </w:p>
    <w:p w14:paraId="21458A33" w14:textId="77777777" w:rsidR="00966E78" w:rsidRDefault="00966E78" w:rsidP="00966E78">
      <w:pPr>
        <w:pStyle w:val="Default"/>
        <w:spacing w:before="120"/>
        <w:ind w:left="714" w:hanging="357"/>
        <w:jc w:val="both"/>
        <w:rPr>
          <w:sz w:val="22"/>
          <w:szCs w:val="22"/>
        </w:rPr>
      </w:pPr>
      <w:r>
        <w:rPr>
          <w:sz w:val="22"/>
          <w:szCs w:val="22"/>
        </w:rPr>
        <w:t xml:space="preserve">c) if the Commission is not the contracting authority; </w:t>
      </w:r>
    </w:p>
    <w:p w14:paraId="03D399DA" w14:textId="77777777" w:rsidR="00966E78" w:rsidRDefault="00966E78" w:rsidP="00966E78">
      <w:pPr>
        <w:pStyle w:val="Default"/>
        <w:spacing w:before="120"/>
        <w:ind w:left="714" w:hanging="357"/>
        <w:jc w:val="both"/>
        <w:rPr>
          <w:sz w:val="22"/>
          <w:szCs w:val="22"/>
        </w:rPr>
      </w:pPr>
      <w:r>
        <w:rPr>
          <w:sz w:val="22"/>
          <w:szCs w:val="22"/>
        </w:rPr>
        <w:t xml:space="preserve">d) for grants exceeding EUR 5 000 000. </w:t>
      </w:r>
    </w:p>
    <w:p w14:paraId="67C1F312" w14:textId="77777777" w:rsidR="00966E78" w:rsidRPr="00E63C69" w:rsidRDefault="00966E78" w:rsidP="00966E78">
      <w:pPr>
        <w:tabs>
          <w:tab w:val="left" w:pos="-1440"/>
          <w:tab w:val="left" w:pos="-720"/>
        </w:tabs>
        <w:spacing w:before="120"/>
        <w:jc w:val="both"/>
        <w:rPr>
          <w:sz w:val="22"/>
          <w:szCs w:val="22"/>
          <w:highlight w:val="green"/>
          <w:lang w:eastAsia="en-GB"/>
        </w:rPr>
      </w:pPr>
      <w:r>
        <w:rPr>
          <w:sz w:val="22"/>
          <w:szCs w:val="22"/>
        </w:rPr>
        <w:t>The payment request is deemed accepted if there is no written reply by the contracting authority within the deadlines set above.</w:t>
      </w:r>
    </w:p>
    <w:p w14:paraId="78FE3400" w14:textId="41F5F86F" w:rsidR="00966E78" w:rsidRDefault="00966E78" w:rsidP="00A237C3">
      <w:pPr>
        <w:tabs>
          <w:tab w:val="left" w:pos="-1440"/>
          <w:tab w:val="left" w:pos="-720"/>
        </w:tabs>
        <w:spacing w:before="120"/>
        <w:jc w:val="both"/>
        <w:rPr>
          <w:bCs/>
          <w:sz w:val="22"/>
        </w:rPr>
      </w:pPr>
    </w:p>
    <w:p w14:paraId="1448A0FB" w14:textId="77777777" w:rsidR="00966E78" w:rsidRDefault="00966E78" w:rsidP="00A237C3">
      <w:pPr>
        <w:tabs>
          <w:tab w:val="left" w:pos="-1440"/>
          <w:tab w:val="left" w:pos="-720"/>
        </w:tabs>
        <w:spacing w:before="120"/>
        <w:jc w:val="both"/>
        <w:rPr>
          <w:bCs/>
          <w:sz w:val="22"/>
        </w:rPr>
      </w:pPr>
    </w:p>
    <w:p w14:paraId="2B6E40AB" w14:textId="0D654FD2" w:rsidR="009A35BC" w:rsidRPr="008C6493" w:rsidRDefault="00B2275A" w:rsidP="00B64CBC">
      <w:pPr>
        <w:keepNext/>
        <w:keepLines/>
        <w:tabs>
          <w:tab w:val="left" w:pos="1134"/>
        </w:tabs>
        <w:spacing w:before="240" w:after="120"/>
        <w:ind w:left="1134" w:hanging="1134"/>
        <w:rPr>
          <w:sz w:val="22"/>
          <w:szCs w:val="22"/>
        </w:rPr>
      </w:pPr>
      <w:r w:rsidRPr="009A35BC">
        <w:rPr>
          <w:sz w:val="22"/>
          <w:szCs w:val="22"/>
          <w:lang w:eastAsia="en-GB"/>
        </w:rPr>
        <w:t xml:space="preserve">7.3 </w:t>
      </w:r>
    </w:p>
    <w:p w14:paraId="3FB3BD68" w14:textId="29444648" w:rsidR="009A35BC" w:rsidRPr="00B64CBC" w:rsidRDefault="009A35BC" w:rsidP="009A35BC">
      <w:pPr>
        <w:spacing w:before="120"/>
        <w:ind w:left="-120"/>
        <w:jc w:val="both"/>
        <w:rPr>
          <w:sz w:val="22"/>
          <w:szCs w:val="22"/>
        </w:rPr>
      </w:pPr>
      <w:r w:rsidRPr="00B64CBC">
        <w:rPr>
          <w:sz w:val="22"/>
          <w:szCs w:val="22"/>
        </w:rPr>
        <w:t>For the purpose of</w:t>
      </w:r>
      <w:r w:rsidRPr="00B64CBC">
        <w:t xml:space="preserve"> </w:t>
      </w:r>
      <w:r w:rsidRPr="00B64CBC">
        <w:rPr>
          <w:sz w:val="22"/>
          <w:szCs w:val="22"/>
        </w:rPr>
        <w:t>Article 1.3 and 1.4 of the general conditions, for the part of the data transferred by the contracting authority to the European Commission the controller for the processing of personal data carried out within the Commission is</w:t>
      </w:r>
      <w:r w:rsidR="00966E78" w:rsidRPr="00B64CBC">
        <w:rPr>
          <w:sz w:val="22"/>
          <w:szCs w:val="22"/>
        </w:rPr>
        <w:t xml:space="preserve"> </w:t>
      </w:r>
      <w:r w:rsidR="00966E78" w:rsidRPr="00966E78">
        <w:rPr>
          <w:sz w:val="22"/>
          <w:szCs w:val="22"/>
        </w:rPr>
        <w:t>the head of Contract and finance unit R4 of DG Neighbourhood and Enlargement Negotiations.</w:t>
      </w:r>
    </w:p>
    <w:p w14:paraId="637076CE" w14:textId="77777777" w:rsidR="009A35BC" w:rsidRDefault="009A35BC" w:rsidP="009A35BC">
      <w:pPr>
        <w:rPr>
          <w:sz w:val="22"/>
          <w:szCs w:val="22"/>
          <w:highlight w:val="lightGray"/>
        </w:rPr>
      </w:pPr>
    </w:p>
    <w:p w14:paraId="536BE66A" w14:textId="77777777" w:rsidR="00966E78" w:rsidRPr="00B64CBC" w:rsidRDefault="00966E78" w:rsidP="009A35BC">
      <w:pPr>
        <w:rPr>
          <w:sz w:val="22"/>
          <w:szCs w:val="22"/>
        </w:rPr>
      </w:pPr>
    </w:p>
    <w:p w14:paraId="314CE8A7" w14:textId="18816970" w:rsidR="009A35BC" w:rsidRPr="00465590" w:rsidRDefault="009A35BC" w:rsidP="009A35BC">
      <w:pPr>
        <w:rPr>
          <w:sz w:val="22"/>
          <w:szCs w:val="22"/>
        </w:rPr>
      </w:pPr>
      <w:r w:rsidRPr="00B64CBC">
        <w:rPr>
          <w:sz w:val="22"/>
          <w:szCs w:val="22"/>
        </w:rPr>
        <w:t>7.3</w:t>
      </w:r>
      <w:r w:rsidR="00966E78" w:rsidRPr="00B64CBC">
        <w:rPr>
          <w:sz w:val="22"/>
          <w:szCs w:val="22"/>
        </w:rPr>
        <w:t>.1.</w:t>
      </w:r>
      <w:r w:rsidRPr="00B64CBC">
        <w:rPr>
          <w:sz w:val="22"/>
          <w:szCs w:val="22"/>
        </w:rPr>
        <w:t xml:space="preserve">  Articles 1.3 and 1.4 of Annex II shall be replaced by the following</w:t>
      </w:r>
      <w:r w:rsidRPr="00465590">
        <w:rPr>
          <w:sz w:val="22"/>
          <w:szCs w:val="22"/>
        </w:rPr>
        <w:t>:</w:t>
      </w:r>
    </w:p>
    <w:p w14:paraId="6E862249" w14:textId="37B69ADF" w:rsidR="009A35BC" w:rsidRPr="00B64CBC" w:rsidRDefault="009A35BC" w:rsidP="009A35BC">
      <w:pPr>
        <w:jc w:val="both"/>
        <w:rPr>
          <w:sz w:val="22"/>
          <w:szCs w:val="22"/>
        </w:rPr>
      </w:pPr>
      <w:r w:rsidRPr="00B64CBC">
        <w:rPr>
          <w:sz w:val="22"/>
          <w:szCs w:val="22"/>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2ADE3FA2" w14:textId="77777777" w:rsidR="009A35BC" w:rsidRPr="00B64CBC" w:rsidRDefault="009A35BC" w:rsidP="009A35BC">
      <w:pPr>
        <w:jc w:val="both"/>
        <w:rPr>
          <w:sz w:val="22"/>
          <w:szCs w:val="22"/>
        </w:rPr>
      </w:pPr>
    </w:p>
    <w:p w14:paraId="2B3C0018" w14:textId="736024CA" w:rsidR="009A35BC" w:rsidRPr="008C6493" w:rsidRDefault="009A35BC" w:rsidP="009A35BC">
      <w:pPr>
        <w:jc w:val="both"/>
        <w:rPr>
          <w:sz w:val="22"/>
          <w:szCs w:val="22"/>
          <w:u w:val="single"/>
        </w:rPr>
      </w:pPr>
      <w:r w:rsidRPr="00B64CBC">
        <w:rPr>
          <w:sz w:val="22"/>
          <w:szCs w:val="22"/>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64CBC">
        <w:rPr>
          <w:rStyle w:val="FootnoteReference"/>
          <w:sz w:val="22"/>
          <w:szCs w:val="22"/>
        </w:rPr>
        <w:footnoteReference w:id="3"/>
      </w:r>
      <w:r w:rsidRPr="00B64CBC">
        <w:rPr>
          <w:sz w:val="22"/>
          <w:szCs w:val="22"/>
        </w:rPr>
        <w:t xml:space="preserve"> and as detailed in the specific privacy statement published at ePRAG.</w:t>
      </w:r>
    </w:p>
    <w:p w14:paraId="1F884519" w14:textId="77777777" w:rsidR="00B2275A" w:rsidRDefault="00B2275A" w:rsidP="007205EA">
      <w:pPr>
        <w:tabs>
          <w:tab w:val="left" w:pos="-1440"/>
          <w:tab w:val="left" w:pos="-720"/>
        </w:tabs>
        <w:spacing w:before="120"/>
        <w:ind w:left="567" w:hanging="567"/>
        <w:jc w:val="both"/>
        <w:rPr>
          <w:sz w:val="22"/>
          <w:szCs w:val="22"/>
          <w:lang w:eastAsia="en-GB"/>
        </w:rPr>
      </w:pPr>
    </w:p>
    <w:p w14:paraId="49CF8C53" w14:textId="77777777" w:rsidR="000B771A" w:rsidRPr="00764A85" w:rsidRDefault="000B771A" w:rsidP="007205EA">
      <w:pPr>
        <w:tabs>
          <w:tab w:val="left" w:pos="-1440"/>
          <w:tab w:val="left" w:pos="-720"/>
        </w:tabs>
        <w:spacing w:before="120"/>
        <w:ind w:left="567" w:hanging="567"/>
        <w:jc w:val="both"/>
        <w:rPr>
          <w:sz w:val="22"/>
          <w:szCs w:val="22"/>
          <w:lang w:eastAsia="en-GB"/>
        </w:rPr>
      </w:pPr>
    </w:p>
    <w:p w14:paraId="3A47277E" w14:textId="5C0D8AC3" w:rsidR="00544550" w:rsidRPr="00764A85" w:rsidRDefault="00544550" w:rsidP="00290199">
      <w:pPr>
        <w:keepNext/>
        <w:spacing w:before="120" w:after="240"/>
        <w:jc w:val="both"/>
        <w:rPr>
          <w:sz w:val="22"/>
          <w:szCs w:val="22"/>
        </w:rPr>
      </w:pPr>
      <w:r w:rsidRPr="00465590">
        <w:rPr>
          <w:sz w:val="22"/>
          <w:szCs w:val="22"/>
        </w:rPr>
        <w:t xml:space="preserve">Done in English in </w:t>
      </w:r>
      <w:r w:rsidRPr="00B64CBC">
        <w:rPr>
          <w:sz w:val="22"/>
          <w:szCs w:val="22"/>
        </w:rPr>
        <w:t>three</w:t>
      </w:r>
      <w:r w:rsidRPr="00465590">
        <w:rPr>
          <w:sz w:val="22"/>
          <w:szCs w:val="22"/>
        </w:rPr>
        <w:t xml:space="preserve"> originals,:</w:t>
      </w:r>
      <w:r w:rsidRPr="00465590">
        <w:rPr>
          <w:i/>
          <w:sz w:val="22"/>
          <w:szCs w:val="22"/>
        </w:rPr>
        <w:t xml:space="preserve"> </w:t>
      </w:r>
      <w:r w:rsidRPr="00B64CBC">
        <w:rPr>
          <w:sz w:val="22"/>
          <w:szCs w:val="22"/>
        </w:rPr>
        <w:t xml:space="preserve">one original being for the </w:t>
      </w:r>
      <w:r w:rsidR="00BF0980" w:rsidRPr="00B64CBC">
        <w:rPr>
          <w:sz w:val="22"/>
          <w:szCs w:val="22"/>
        </w:rPr>
        <w:t>c</w:t>
      </w:r>
      <w:r w:rsidRPr="00B64CBC">
        <w:rPr>
          <w:sz w:val="22"/>
          <w:szCs w:val="22"/>
        </w:rPr>
        <w:t xml:space="preserve">ontracting </w:t>
      </w:r>
      <w:r w:rsidR="00BF0980" w:rsidRPr="00B64CBC">
        <w:rPr>
          <w:sz w:val="22"/>
          <w:szCs w:val="22"/>
        </w:rPr>
        <w:t>a</w:t>
      </w:r>
      <w:r w:rsidRPr="00B64CBC">
        <w:rPr>
          <w:sz w:val="22"/>
          <w:szCs w:val="22"/>
        </w:rPr>
        <w:t>uthority, one original being for the European Commission,</w:t>
      </w:r>
      <w:r w:rsidRPr="00465590">
        <w:rPr>
          <w:sz w:val="22"/>
          <w:szCs w:val="22"/>
        </w:rPr>
        <w:t xml:space="preserve"> and one original being for the </w:t>
      </w:r>
      <w:r w:rsidR="003C0331" w:rsidRPr="00465590">
        <w:rPr>
          <w:sz w:val="22"/>
          <w:szCs w:val="22"/>
        </w:rPr>
        <w:t>b</w:t>
      </w:r>
      <w:r w:rsidR="00360390" w:rsidRPr="00465590">
        <w:rPr>
          <w:sz w:val="22"/>
          <w:szCs w:val="22"/>
        </w:rPr>
        <w:t>eneficiary(ies)</w:t>
      </w:r>
      <w:r w:rsidRPr="00465590">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68045871" w14:textId="77777777" w:rsidTr="00AC591B">
        <w:trPr>
          <w:jc w:val="center"/>
        </w:trPr>
        <w:tc>
          <w:tcPr>
            <w:tcW w:w="4643" w:type="dxa"/>
            <w:gridSpan w:val="2"/>
          </w:tcPr>
          <w:p w14:paraId="56C2D05C"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4"/>
            </w:r>
          </w:p>
        </w:tc>
        <w:tc>
          <w:tcPr>
            <w:tcW w:w="4643" w:type="dxa"/>
            <w:gridSpan w:val="2"/>
          </w:tcPr>
          <w:p w14:paraId="098FAD9F"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D00AB35" w14:textId="77777777" w:rsidTr="00AC591B">
        <w:trPr>
          <w:jc w:val="center"/>
        </w:trPr>
        <w:tc>
          <w:tcPr>
            <w:tcW w:w="1384" w:type="dxa"/>
          </w:tcPr>
          <w:p w14:paraId="09C1E349" w14:textId="77777777" w:rsidR="009A0B27" w:rsidRPr="00764A85" w:rsidRDefault="009A0B27" w:rsidP="007205EA">
            <w:pPr>
              <w:pStyle w:val="BodyText"/>
              <w:spacing w:before="120" w:after="240"/>
              <w:rPr>
                <w:sz w:val="22"/>
              </w:rPr>
            </w:pPr>
            <w:r w:rsidRPr="00764A85">
              <w:rPr>
                <w:sz w:val="22"/>
              </w:rPr>
              <w:t>Name</w:t>
            </w:r>
          </w:p>
        </w:tc>
        <w:tc>
          <w:tcPr>
            <w:tcW w:w="3259" w:type="dxa"/>
          </w:tcPr>
          <w:p w14:paraId="6E392123" w14:textId="77777777" w:rsidR="009A0B27" w:rsidRPr="00764A85" w:rsidRDefault="009A0B27" w:rsidP="007205EA">
            <w:pPr>
              <w:pStyle w:val="BodyText"/>
              <w:spacing w:before="120" w:after="240"/>
              <w:rPr>
                <w:sz w:val="22"/>
              </w:rPr>
            </w:pPr>
          </w:p>
        </w:tc>
        <w:tc>
          <w:tcPr>
            <w:tcW w:w="2321" w:type="dxa"/>
          </w:tcPr>
          <w:p w14:paraId="20B92FB5"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B67ED1F" w14:textId="77777777" w:rsidR="009A0B27" w:rsidRPr="00764A85" w:rsidRDefault="009A0B27" w:rsidP="007205EA">
            <w:pPr>
              <w:pStyle w:val="BodyText"/>
              <w:spacing w:before="120" w:after="240"/>
              <w:rPr>
                <w:sz w:val="22"/>
              </w:rPr>
            </w:pPr>
          </w:p>
        </w:tc>
      </w:tr>
      <w:tr w:rsidR="009A0B27" w:rsidRPr="00764A85" w14:paraId="69F304BC" w14:textId="77777777" w:rsidTr="00AC591B">
        <w:trPr>
          <w:jc w:val="center"/>
        </w:trPr>
        <w:tc>
          <w:tcPr>
            <w:tcW w:w="1384" w:type="dxa"/>
          </w:tcPr>
          <w:p w14:paraId="7DB4EE49"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21266527" w14:textId="77777777" w:rsidR="009A0B27" w:rsidRPr="00764A85" w:rsidRDefault="009A0B27" w:rsidP="007205EA">
            <w:pPr>
              <w:pStyle w:val="BodyText"/>
              <w:spacing w:before="120" w:after="240"/>
              <w:rPr>
                <w:sz w:val="22"/>
              </w:rPr>
            </w:pPr>
          </w:p>
        </w:tc>
        <w:tc>
          <w:tcPr>
            <w:tcW w:w="2321" w:type="dxa"/>
          </w:tcPr>
          <w:p w14:paraId="59033BBE"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6C17D92A" w14:textId="77777777" w:rsidR="009A0B27" w:rsidRPr="00764A85" w:rsidRDefault="009A0B27" w:rsidP="007205EA">
            <w:pPr>
              <w:pStyle w:val="BodyText"/>
              <w:spacing w:before="120" w:after="240"/>
              <w:rPr>
                <w:sz w:val="22"/>
              </w:rPr>
            </w:pPr>
          </w:p>
        </w:tc>
      </w:tr>
      <w:tr w:rsidR="009A0B27" w:rsidRPr="00764A85" w14:paraId="684FCE3B" w14:textId="77777777" w:rsidTr="00AC591B">
        <w:trPr>
          <w:jc w:val="center"/>
        </w:trPr>
        <w:tc>
          <w:tcPr>
            <w:tcW w:w="1384" w:type="dxa"/>
          </w:tcPr>
          <w:p w14:paraId="2B099077"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28F7FBD9" w14:textId="77777777" w:rsidR="009A0B27" w:rsidRPr="00764A85" w:rsidRDefault="009A0B27" w:rsidP="007205EA">
            <w:pPr>
              <w:pStyle w:val="BodyText"/>
              <w:spacing w:before="120" w:after="240"/>
              <w:rPr>
                <w:sz w:val="22"/>
              </w:rPr>
            </w:pPr>
          </w:p>
        </w:tc>
        <w:tc>
          <w:tcPr>
            <w:tcW w:w="2321" w:type="dxa"/>
          </w:tcPr>
          <w:p w14:paraId="4C858CC5"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3A7652B5" w14:textId="77777777" w:rsidR="009A0B27" w:rsidRPr="00764A85" w:rsidRDefault="009A0B27" w:rsidP="007205EA">
            <w:pPr>
              <w:pStyle w:val="BodyText"/>
              <w:spacing w:before="120" w:after="240"/>
              <w:rPr>
                <w:sz w:val="22"/>
              </w:rPr>
            </w:pPr>
          </w:p>
        </w:tc>
      </w:tr>
      <w:tr w:rsidR="009A0B27" w:rsidRPr="00764A85" w14:paraId="34E0C570" w14:textId="77777777" w:rsidTr="00AC591B">
        <w:trPr>
          <w:jc w:val="center"/>
        </w:trPr>
        <w:tc>
          <w:tcPr>
            <w:tcW w:w="1384" w:type="dxa"/>
          </w:tcPr>
          <w:p w14:paraId="58A79D86" w14:textId="77777777" w:rsidR="009A0B27" w:rsidRPr="00764A85" w:rsidRDefault="009A0B27" w:rsidP="007205EA">
            <w:pPr>
              <w:pStyle w:val="BodyText"/>
              <w:spacing w:before="120" w:after="240"/>
              <w:rPr>
                <w:sz w:val="22"/>
              </w:rPr>
            </w:pPr>
            <w:r w:rsidRPr="00764A85">
              <w:rPr>
                <w:sz w:val="22"/>
              </w:rPr>
              <w:t>Date</w:t>
            </w:r>
          </w:p>
        </w:tc>
        <w:tc>
          <w:tcPr>
            <w:tcW w:w="3259" w:type="dxa"/>
          </w:tcPr>
          <w:p w14:paraId="315313B1" w14:textId="77777777" w:rsidR="009A0B27" w:rsidRPr="00764A85" w:rsidRDefault="009A0B27" w:rsidP="007205EA">
            <w:pPr>
              <w:pStyle w:val="BodyText"/>
              <w:spacing w:before="120" w:after="240"/>
              <w:rPr>
                <w:sz w:val="22"/>
              </w:rPr>
            </w:pPr>
          </w:p>
        </w:tc>
        <w:tc>
          <w:tcPr>
            <w:tcW w:w="2321" w:type="dxa"/>
          </w:tcPr>
          <w:p w14:paraId="5B274A5C" w14:textId="77777777" w:rsidR="009A0B27" w:rsidRPr="00764A85" w:rsidRDefault="009A0B27" w:rsidP="007205EA">
            <w:pPr>
              <w:pStyle w:val="BodyText"/>
              <w:spacing w:before="120" w:after="240"/>
              <w:rPr>
                <w:sz w:val="22"/>
              </w:rPr>
            </w:pPr>
            <w:r w:rsidRPr="00764A85">
              <w:rPr>
                <w:sz w:val="22"/>
              </w:rPr>
              <w:t>Date</w:t>
            </w:r>
          </w:p>
        </w:tc>
        <w:tc>
          <w:tcPr>
            <w:tcW w:w="2322" w:type="dxa"/>
          </w:tcPr>
          <w:p w14:paraId="0D5C9C31" w14:textId="77777777" w:rsidR="009A0B27" w:rsidRPr="00764A85" w:rsidRDefault="009A0B27" w:rsidP="007205EA">
            <w:pPr>
              <w:pStyle w:val="BodyText"/>
              <w:spacing w:before="120" w:after="240"/>
              <w:rPr>
                <w:sz w:val="22"/>
              </w:rPr>
            </w:pPr>
          </w:p>
        </w:tc>
      </w:tr>
    </w:tbl>
    <w:p w14:paraId="7600C9B2" w14:textId="1E5BD353" w:rsidR="009A0B27" w:rsidRDefault="009A0B27" w:rsidP="00532286">
      <w:pPr>
        <w:spacing w:before="120"/>
        <w:rPr>
          <w:highlight w:val="lightGray"/>
        </w:rPr>
      </w:pPr>
    </w:p>
    <w:sectPr w:rsidR="009A0B27" w:rsidSect="004A6955">
      <w:headerReference w:type="default" r:id="rId11"/>
      <w:footerReference w:type="default" r:id="rId12"/>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8BD65" w14:textId="77777777" w:rsidR="007B4773" w:rsidRPr="00B479BA" w:rsidRDefault="007B4773">
      <w:r w:rsidRPr="00B479BA">
        <w:separator/>
      </w:r>
    </w:p>
  </w:endnote>
  <w:endnote w:type="continuationSeparator" w:id="0">
    <w:p w14:paraId="5E34BA44" w14:textId="77777777" w:rsidR="007B4773" w:rsidRPr="00B479BA" w:rsidRDefault="007B4773">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97A2" w14:textId="7EFCD48F" w:rsidR="00186D43" w:rsidRPr="00B479BA" w:rsidRDefault="00DB219F" w:rsidP="00764A85">
    <w:pPr>
      <w:pStyle w:val="Footer"/>
      <w:tabs>
        <w:tab w:val="clear" w:pos="4320"/>
        <w:tab w:val="clear" w:pos="8640"/>
        <w:tab w:val="right" w:pos="9356"/>
      </w:tabs>
      <w:rPr>
        <w:sz w:val="18"/>
        <w:szCs w:val="18"/>
      </w:rPr>
    </w:pPr>
    <w:r>
      <w:rPr>
        <w:b/>
        <w:sz w:val="18"/>
        <w:szCs w:val="18"/>
      </w:rPr>
      <w:t>June 2022</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72100C">
      <w:rPr>
        <w:noProof/>
        <w:sz w:val="18"/>
        <w:szCs w:val="18"/>
      </w:rPr>
      <w:t>6</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72100C">
      <w:rPr>
        <w:noProof/>
        <w:sz w:val="18"/>
        <w:szCs w:val="18"/>
      </w:rPr>
      <w:t>8</w:t>
    </w:r>
    <w:r w:rsidR="00186D43" w:rsidRPr="00B479BA">
      <w:rPr>
        <w:sz w:val="18"/>
        <w:szCs w:val="18"/>
      </w:rPr>
      <w:fldChar w:fldCharType="end"/>
    </w:r>
  </w:p>
  <w:p w14:paraId="76C0FB03" w14:textId="3A3DA84B"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DB219F">
      <w:rPr>
        <w:noProof/>
        <w:sz w:val="18"/>
        <w:szCs w:val="18"/>
      </w:rPr>
      <w:t>8_Annex G_1_special conditions</w:t>
    </w:r>
    <w:r w:rsidRPr="00FE47EA">
      <w:rPr>
        <w:sz w:val="18"/>
        <w:szCs w:val="18"/>
      </w:rPr>
      <w:fldChar w:fldCharType="end"/>
    </w:r>
    <w:r w:rsidRPr="00B479BA">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EFDF6" w14:textId="77777777" w:rsidR="007B4773" w:rsidRPr="00B479BA" w:rsidRDefault="007B4773">
      <w:r w:rsidRPr="00B479BA">
        <w:separator/>
      </w:r>
    </w:p>
  </w:footnote>
  <w:footnote w:type="continuationSeparator" w:id="0">
    <w:p w14:paraId="2A0DA8EF" w14:textId="77777777" w:rsidR="007B4773" w:rsidRPr="00B479BA" w:rsidRDefault="007B4773">
      <w:r w:rsidRPr="00B479BA">
        <w:continuationSeparator/>
      </w:r>
    </w:p>
  </w:footnote>
  <w:footnote w:id="1">
    <w:p w14:paraId="7BC9A086"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2ED10A5B" w14:textId="77777777"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3">
    <w:p w14:paraId="3470E92F" w14:textId="77777777" w:rsidR="009A35BC" w:rsidRDefault="009A35BC" w:rsidP="00191C3D">
      <w:pPr>
        <w:pStyle w:val="FootnoteText"/>
        <w:jc w:val="both"/>
      </w:pPr>
      <w:r>
        <w:rPr>
          <w:rStyle w:val="FootnoteReference"/>
        </w:rPr>
        <w:footnoteRef/>
      </w:r>
      <w:r>
        <w:t xml:space="preserve"> OJ L 205 of 21.11.2018, p. 39.</w:t>
      </w:r>
    </w:p>
  </w:footnote>
  <w:footnote w:id="4">
    <w:p w14:paraId="6AAE7023"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76E2"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B0340D"/>
    <w:multiLevelType w:val="hybridMultilevel"/>
    <w:tmpl w:val="2890A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1"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3"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9"/>
  </w:num>
  <w:num w:numId="3">
    <w:abstractNumId w:val="1"/>
  </w:num>
  <w:num w:numId="4">
    <w:abstractNumId w:val="6"/>
  </w:num>
  <w:num w:numId="5">
    <w:abstractNumId w:val="14"/>
  </w:num>
  <w:num w:numId="6">
    <w:abstractNumId w:val="5"/>
  </w:num>
  <w:num w:numId="7">
    <w:abstractNumId w:val="15"/>
  </w:num>
  <w:num w:numId="8">
    <w:abstractNumId w:val="3"/>
  </w:num>
  <w:num w:numId="9">
    <w:abstractNumId w:val="7"/>
  </w:num>
  <w:num w:numId="10">
    <w:abstractNumId w:val="4"/>
  </w:num>
  <w:num w:numId="11">
    <w:abstractNumId w:val="11"/>
  </w:num>
  <w:num w:numId="12">
    <w:abstractNumId w:val="13"/>
  </w:num>
  <w:num w:numId="13">
    <w:abstractNumId w:val="7"/>
  </w:num>
  <w:num w:numId="14">
    <w:abstractNumId w:val="2"/>
  </w:num>
  <w:num w:numId="15">
    <w:abstractNumId w:val="2"/>
  </w:num>
  <w:num w:numId="16">
    <w:abstractNumId w:val="12"/>
  </w:num>
  <w:num w:numId="17">
    <w:abstractNumId w:val="10"/>
  </w:num>
  <w:num w:numId="18">
    <w:abstractNumId w:val="16"/>
  </w:num>
  <w:num w:numId="1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590"/>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75A"/>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1958"/>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876A4"/>
    <w:rsid w:val="00691020"/>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56F9"/>
    <w:rsid w:val="006E602D"/>
    <w:rsid w:val="006E6CAA"/>
    <w:rsid w:val="006F044C"/>
    <w:rsid w:val="006F0546"/>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00C"/>
    <w:rsid w:val="00721234"/>
    <w:rsid w:val="00721763"/>
    <w:rsid w:val="00721E97"/>
    <w:rsid w:val="0073029F"/>
    <w:rsid w:val="00733123"/>
    <w:rsid w:val="00741654"/>
    <w:rsid w:val="00741C17"/>
    <w:rsid w:val="00742E50"/>
    <w:rsid w:val="007447BC"/>
    <w:rsid w:val="00746AE9"/>
    <w:rsid w:val="00750CE5"/>
    <w:rsid w:val="007523BE"/>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4773"/>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66E78"/>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34E"/>
    <w:rsid w:val="00A90D45"/>
    <w:rsid w:val="00A910C9"/>
    <w:rsid w:val="00A927ED"/>
    <w:rsid w:val="00A93C98"/>
    <w:rsid w:val="00A947D4"/>
    <w:rsid w:val="00AA2DBC"/>
    <w:rsid w:val="00AA32EE"/>
    <w:rsid w:val="00AA5CFE"/>
    <w:rsid w:val="00AB05FF"/>
    <w:rsid w:val="00AB1234"/>
    <w:rsid w:val="00AB2CBA"/>
    <w:rsid w:val="00AB3569"/>
    <w:rsid w:val="00AB41F7"/>
    <w:rsid w:val="00AB4367"/>
    <w:rsid w:val="00AB55FF"/>
    <w:rsid w:val="00AB654C"/>
    <w:rsid w:val="00AB703B"/>
    <w:rsid w:val="00AB7BC6"/>
    <w:rsid w:val="00AB7E15"/>
    <w:rsid w:val="00AC1C04"/>
    <w:rsid w:val="00AC259E"/>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CB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225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5CBE"/>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219F"/>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F14"/>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paragraph" w:customStyle="1" w:styleId="Default">
    <w:name w:val="Default"/>
    <w:rsid w:val="00966E7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2.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9A899A-7FBA-4645-A241-E66CA207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2306</Words>
  <Characters>13146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Tamara Rakic</cp:lastModifiedBy>
  <cp:revision>18</cp:revision>
  <cp:lastPrinted>2014-01-20T08:23:00Z</cp:lastPrinted>
  <dcterms:created xsi:type="dcterms:W3CDTF">2021-06-23T15:35:00Z</dcterms:created>
  <dcterms:modified xsi:type="dcterms:W3CDTF">2024-10-17T07:33:00Z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