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11C" w:rsidRPr="00B5440B" w:rsidRDefault="00D6111C" w:rsidP="00D6111C">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Pr="00B5440B">
        <w:rPr>
          <w:rFonts w:ascii="Times New Roman" w:hAnsi="Times New Roman"/>
          <w:iCs/>
          <w:sz w:val="28"/>
          <w:szCs w:val="28"/>
          <w:lang w:val="en-GB"/>
        </w:rPr>
        <w:t xml:space="preserve"> FOR EUROPEAN UNION EXTERNAL ACTIONS</w:t>
      </w:r>
    </w:p>
    <w:p w:rsidR="00D6111C" w:rsidRPr="00B5440B" w:rsidRDefault="00D6111C" w:rsidP="00D6111C">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rsidR="00D6111C" w:rsidRPr="003D6B6C" w:rsidRDefault="00D6111C" w:rsidP="00D6111C">
      <w:pPr>
        <w:jc w:val="both"/>
        <w:rPr>
          <w:rFonts w:ascii="Times New Roman" w:hAnsi="Times New Roman"/>
          <w:sz w:val="22"/>
          <w:szCs w:val="22"/>
        </w:rPr>
      </w:pPr>
      <w:r w:rsidRPr="003D6B6C">
        <w:rPr>
          <w:rFonts w:ascii="Times New Roman" w:hAnsi="Times New Roman"/>
          <w:sz w:val="22"/>
          <w:szCs w:val="22"/>
        </w:rPr>
        <w:t>These conditions amplify and supplement</w:t>
      </w:r>
      <w:r>
        <w:rPr>
          <w:rFonts w:ascii="Times New Roman" w:hAnsi="Times New Roman"/>
          <w:sz w:val="22"/>
          <w:szCs w:val="22"/>
        </w:rPr>
        <w:t xml:space="preserve"> </w:t>
      </w:r>
      <w:r w:rsidRPr="003D6B6C">
        <w:rPr>
          <w:rFonts w:ascii="Times New Roman" w:hAnsi="Times New Roman"/>
          <w:sz w:val="22"/>
          <w:szCs w:val="22"/>
        </w:rPr>
        <w:t xml:space="preserve">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governing the </w:t>
      </w:r>
      <w:r>
        <w:rPr>
          <w:rFonts w:ascii="Times New Roman" w:hAnsi="Times New Roman"/>
          <w:sz w:val="22"/>
          <w:szCs w:val="22"/>
        </w:rPr>
        <w:t>c</w:t>
      </w:r>
      <w:r w:rsidRPr="003D6B6C">
        <w:rPr>
          <w:rFonts w:ascii="Times New Roman" w:hAnsi="Times New Roman"/>
          <w:sz w:val="22"/>
          <w:szCs w:val="22"/>
        </w:rPr>
        <w:t>ontract.</w:t>
      </w:r>
      <w:r>
        <w:rPr>
          <w:rFonts w:ascii="Times New Roman" w:hAnsi="Times New Roman"/>
          <w:sz w:val="22"/>
          <w:szCs w:val="22"/>
        </w:rPr>
        <w:t xml:space="preserve"> </w:t>
      </w:r>
      <w:r w:rsidRPr="003D6B6C">
        <w:rPr>
          <w:rFonts w:ascii="Times New Roman" w:hAnsi="Times New Roman"/>
          <w:sz w:val="22"/>
          <w:szCs w:val="22"/>
        </w:rPr>
        <w:t xml:space="preserve">Unless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provide otherwise, those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g</w:t>
      </w:r>
      <w:r w:rsidRPr="003D6B6C">
        <w:rPr>
          <w:rFonts w:ascii="Times New Roman" w:hAnsi="Times New Roman"/>
          <w:sz w:val="22"/>
          <w:szCs w:val="22"/>
        </w:rPr>
        <w:t xml:space="preserve">eneral </w:t>
      </w:r>
      <w:bookmarkStart w:id="1" w:name="_Hlk132980891"/>
      <w:r>
        <w:rPr>
          <w:rFonts w:ascii="Times New Roman" w:hAnsi="Times New Roman"/>
          <w:sz w:val="22"/>
          <w:szCs w:val="22"/>
        </w:rPr>
        <w:t>c</w:t>
      </w:r>
      <w:r w:rsidRPr="003D6B6C">
        <w:rPr>
          <w:rFonts w:ascii="Times New Roman" w:hAnsi="Times New Roman"/>
          <w:sz w:val="22"/>
          <w:szCs w:val="22"/>
        </w:rPr>
        <w:t>onditions</w:t>
      </w:r>
      <w:r>
        <w:rPr>
          <w:rFonts w:ascii="Times New Roman" w:hAnsi="Times New Roman"/>
          <w:sz w:val="22"/>
          <w:szCs w:val="22"/>
        </w:rPr>
        <w:t>.</w:t>
      </w:r>
      <w:r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rsidR="00D6111C" w:rsidRPr="00B5440B" w:rsidRDefault="00D6111C" w:rsidP="00D6111C">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rsidR="00D6111C" w:rsidRDefault="00D6111C" w:rsidP="00D6111C">
      <w:pPr>
        <w:spacing w:before="0" w:after="0"/>
        <w:jc w:val="both"/>
        <w:rPr>
          <w:rFonts w:ascii="Times New Roman" w:hAnsi="Times New Roman"/>
          <w:sz w:val="22"/>
        </w:rPr>
      </w:pPr>
      <w:r w:rsidRPr="009F671A">
        <w:rPr>
          <w:rFonts w:ascii="Times New Roman" w:hAnsi="Times New Roman"/>
          <w:sz w:val="22"/>
        </w:rPr>
        <w:t xml:space="preserve">the supply, delivery, unloading, warranty and commercial warranty of the following supplies: </w:t>
      </w:r>
    </w:p>
    <w:p w:rsidR="00D6111C" w:rsidRDefault="00D6111C" w:rsidP="00D6111C">
      <w:pPr>
        <w:spacing w:before="0" w:after="0"/>
        <w:jc w:val="both"/>
        <w:rPr>
          <w:rFonts w:ascii="Times New Roman" w:hAnsi="Times New Roman"/>
          <w:sz w:val="22"/>
        </w:rPr>
      </w:pPr>
    </w:p>
    <w:p w:rsidR="00D6111C" w:rsidRDefault="00D6111C" w:rsidP="00D6111C">
      <w:pPr>
        <w:spacing w:before="0" w:after="0"/>
        <w:rPr>
          <w:lang w:val="fr-BE"/>
        </w:rPr>
      </w:pPr>
    </w:p>
    <w:tbl>
      <w:tblPr>
        <w:tblW w:w="89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840"/>
        <w:gridCol w:w="1193"/>
      </w:tblGrid>
      <w:tr w:rsidR="00D6111C" w:rsidRPr="002E0B4A" w:rsidTr="004D63ED">
        <w:tc>
          <w:tcPr>
            <w:tcW w:w="8933" w:type="dxa"/>
            <w:gridSpan w:val="3"/>
            <w:shd w:val="clear" w:color="auto" w:fill="BFBFBF"/>
          </w:tcPr>
          <w:p w:rsidR="00D6111C" w:rsidRPr="002E0B4A" w:rsidRDefault="00D6111C" w:rsidP="001923FB">
            <w:pPr>
              <w:pStyle w:val="Heading2"/>
              <w:spacing w:before="0" w:after="0"/>
              <w:ind w:hanging="27"/>
              <w:jc w:val="both"/>
              <w:rPr>
                <w:rFonts w:ascii="Times New Roman" w:hAnsi="Times New Roman"/>
                <w:b/>
                <w:sz w:val="22"/>
                <w:szCs w:val="22"/>
                <w:lang w:val="en-GB"/>
              </w:rPr>
            </w:pPr>
            <w:r>
              <w:rPr>
                <w:rFonts w:ascii="Times New Roman" w:hAnsi="Times New Roman"/>
                <w:b/>
                <w:sz w:val="22"/>
                <w:szCs w:val="22"/>
                <w:lang w:val="en-GB"/>
              </w:rPr>
              <w:t xml:space="preserve">LOT 2:  </w:t>
            </w:r>
            <w:r w:rsidR="001923FB">
              <w:rPr>
                <w:rFonts w:ascii="Times New Roman" w:hAnsi="Times New Roman"/>
                <w:b/>
                <w:sz w:val="22"/>
                <w:szCs w:val="22"/>
                <w:lang w:val="en-GB"/>
              </w:rPr>
              <w:t xml:space="preserve"> </w:t>
            </w:r>
            <w:r>
              <w:rPr>
                <w:rFonts w:ascii="Times New Roman" w:hAnsi="Times New Roman"/>
                <w:b/>
                <w:sz w:val="22"/>
                <w:szCs w:val="22"/>
              </w:rPr>
              <w:t>GPS Tablet</w:t>
            </w:r>
          </w:p>
        </w:tc>
      </w:tr>
      <w:tr w:rsidR="00D6111C" w:rsidRPr="002E0B4A" w:rsidTr="004D63ED">
        <w:tc>
          <w:tcPr>
            <w:tcW w:w="900" w:type="dxa"/>
            <w:shd w:val="clear" w:color="auto" w:fill="D9D9D9"/>
          </w:tcPr>
          <w:p w:rsidR="00D6111C" w:rsidRPr="002E0B4A" w:rsidRDefault="00D6111C" w:rsidP="004D63ED">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Item n◦</w:t>
            </w:r>
          </w:p>
        </w:tc>
        <w:tc>
          <w:tcPr>
            <w:tcW w:w="6840" w:type="dxa"/>
            <w:shd w:val="clear" w:color="auto" w:fill="D9D9D9"/>
          </w:tcPr>
          <w:p w:rsidR="00D6111C" w:rsidRPr="004217A9" w:rsidRDefault="00D6111C" w:rsidP="004D63ED">
            <w:pPr>
              <w:pStyle w:val="Heading2"/>
              <w:tabs>
                <w:tab w:val="left" w:pos="1125"/>
              </w:tabs>
              <w:spacing w:before="0" w:after="0"/>
              <w:ind w:left="33" w:hanging="27"/>
              <w:jc w:val="both"/>
              <w:rPr>
                <w:rFonts w:ascii="Times New Roman" w:hAnsi="Times New Roman"/>
                <w:sz w:val="22"/>
                <w:szCs w:val="22"/>
                <w:lang w:val="en-US"/>
              </w:rPr>
            </w:pPr>
            <w:r>
              <w:rPr>
                <w:rFonts w:ascii="Times New Roman" w:hAnsi="Times New Roman"/>
                <w:sz w:val="22"/>
                <w:szCs w:val="22"/>
                <w:lang w:val="en-US"/>
              </w:rPr>
              <w:t>Item</w:t>
            </w:r>
          </w:p>
        </w:tc>
        <w:tc>
          <w:tcPr>
            <w:tcW w:w="1193" w:type="dxa"/>
            <w:shd w:val="clear" w:color="auto" w:fill="D9D9D9"/>
          </w:tcPr>
          <w:p w:rsidR="00D6111C" w:rsidRPr="002E0B4A" w:rsidRDefault="00D6111C" w:rsidP="004D63ED">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Quantity</w:t>
            </w:r>
          </w:p>
        </w:tc>
      </w:tr>
      <w:tr w:rsidR="00D6111C" w:rsidRPr="002E0B4A" w:rsidTr="004D63ED">
        <w:trPr>
          <w:trHeight w:val="208"/>
        </w:trPr>
        <w:tc>
          <w:tcPr>
            <w:tcW w:w="900" w:type="dxa"/>
            <w:shd w:val="clear" w:color="auto" w:fill="auto"/>
          </w:tcPr>
          <w:p w:rsidR="00D6111C" w:rsidRPr="002E0B4A" w:rsidRDefault="00D6111C" w:rsidP="004D63ED">
            <w:pPr>
              <w:pStyle w:val="Heading2"/>
              <w:spacing w:before="0" w:after="0"/>
              <w:ind w:left="90" w:hanging="27"/>
              <w:jc w:val="both"/>
              <w:rPr>
                <w:rFonts w:ascii="Times New Roman" w:hAnsi="Times New Roman"/>
                <w:sz w:val="22"/>
                <w:szCs w:val="22"/>
                <w:lang w:val="en-US"/>
              </w:rPr>
            </w:pPr>
            <w:r>
              <w:rPr>
                <w:rFonts w:ascii="Times New Roman" w:hAnsi="Times New Roman"/>
                <w:sz w:val="22"/>
                <w:szCs w:val="22"/>
                <w:lang w:val="en-US"/>
              </w:rPr>
              <w:t>2.1</w:t>
            </w:r>
          </w:p>
        </w:tc>
        <w:tc>
          <w:tcPr>
            <w:tcW w:w="6840" w:type="dxa"/>
            <w:shd w:val="clear" w:color="auto" w:fill="auto"/>
          </w:tcPr>
          <w:p w:rsidR="00D6111C" w:rsidRPr="00B70C7F" w:rsidRDefault="00D6111C" w:rsidP="004D63ED">
            <w:pPr>
              <w:pStyle w:val="Heading2"/>
              <w:tabs>
                <w:tab w:val="left" w:pos="1125"/>
              </w:tabs>
              <w:spacing w:before="0" w:after="0"/>
              <w:ind w:left="90" w:hanging="27"/>
              <w:jc w:val="both"/>
              <w:rPr>
                <w:rFonts w:ascii="Times New Roman" w:hAnsi="Times New Roman"/>
                <w:sz w:val="22"/>
                <w:szCs w:val="22"/>
                <w:lang w:val="en-US"/>
              </w:rPr>
            </w:pPr>
            <w:r w:rsidRPr="00B70C7F">
              <w:rPr>
                <w:rFonts w:ascii="Times New Roman" w:hAnsi="Times New Roman"/>
                <w:b/>
                <w:bCs/>
                <w:sz w:val="22"/>
                <w:szCs w:val="22"/>
              </w:rPr>
              <w:t xml:space="preserve">GPS </w:t>
            </w:r>
            <w:proofErr w:type="spellStart"/>
            <w:r w:rsidRPr="00B70C7F">
              <w:rPr>
                <w:rFonts w:ascii="Times New Roman" w:hAnsi="Times New Roman"/>
                <w:b/>
                <w:bCs/>
                <w:sz w:val="22"/>
                <w:szCs w:val="22"/>
              </w:rPr>
              <w:t>tablet</w:t>
            </w:r>
            <w:proofErr w:type="spellEnd"/>
          </w:p>
        </w:tc>
        <w:tc>
          <w:tcPr>
            <w:tcW w:w="1193" w:type="dxa"/>
            <w:shd w:val="clear" w:color="auto" w:fill="auto"/>
          </w:tcPr>
          <w:p w:rsidR="00D6111C" w:rsidRPr="002E0B4A" w:rsidRDefault="00D6111C" w:rsidP="004D63ED">
            <w:pPr>
              <w:pStyle w:val="Heading2"/>
              <w:spacing w:before="0" w:after="0"/>
              <w:ind w:left="90" w:hanging="27"/>
              <w:jc w:val="center"/>
              <w:rPr>
                <w:rFonts w:ascii="Times New Roman" w:hAnsi="Times New Roman"/>
                <w:sz w:val="22"/>
                <w:szCs w:val="22"/>
                <w:lang w:val="en-US"/>
              </w:rPr>
            </w:pPr>
            <w:r>
              <w:rPr>
                <w:rFonts w:ascii="Times New Roman" w:hAnsi="Times New Roman"/>
                <w:sz w:val="22"/>
                <w:szCs w:val="22"/>
                <w:lang w:val="en-US"/>
              </w:rPr>
              <w:t>42</w:t>
            </w:r>
          </w:p>
        </w:tc>
      </w:tr>
    </w:tbl>
    <w:p w:rsidR="00D6111C" w:rsidRDefault="00D6111C" w:rsidP="00D6111C">
      <w:pPr>
        <w:spacing w:after="0"/>
        <w:rPr>
          <w:lang w:val="fr-BE"/>
        </w:rPr>
      </w:pPr>
    </w:p>
    <w:p w:rsidR="00D6111C" w:rsidRPr="00C05EBE" w:rsidRDefault="00D6111C" w:rsidP="00D6111C">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rsidR="00D6111C" w:rsidRPr="00556F39" w:rsidRDefault="00D6111C" w:rsidP="00D6111C">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rsidR="00D6111C" w:rsidRPr="00C05EBE" w:rsidRDefault="00D6111C" w:rsidP="00D6111C">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rsidR="00D6111C" w:rsidRPr="00C05EBE" w:rsidRDefault="00D6111C" w:rsidP="00D6111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rsidR="00D6111C" w:rsidRPr="00C05EBE" w:rsidRDefault="00D6111C" w:rsidP="00D6111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rsidR="00D6111C" w:rsidRPr="00C05EBE" w:rsidRDefault="00D6111C" w:rsidP="00D6111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w:t>
      </w:r>
    </w:p>
    <w:p w:rsidR="00D6111C" w:rsidRPr="00AB2CD3" w:rsidRDefault="00D6111C" w:rsidP="00D6111C">
      <w:pPr>
        <w:numPr>
          <w:ilvl w:val="0"/>
          <w:numId w:val="1"/>
        </w:numPr>
        <w:tabs>
          <w:tab w:val="clear" w:pos="360"/>
        </w:tabs>
        <w:spacing w:before="0" w:after="80"/>
        <w:ind w:left="709" w:hanging="425"/>
        <w:jc w:val="both"/>
        <w:rPr>
          <w:rFonts w:ascii="Times New Roman" w:hAnsi="Times New Roman"/>
          <w:sz w:val="22"/>
        </w:rPr>
      </w:pPr>
      <w:r w:rsidRPr="00AB2CD3">
        <w:rPr>
          <w:rFonts w:ascii="Times New Roman" w:hAnsi="Times New Roman"/>
          <w:sz w:val="22"/>
        </w:rPr>
        <w:t>the technical offer (Annex III including clarifications from the tenderer provided during tender evaluation);</w:t>
      </w:r>
    </w:p>
    <w:p w:rsidR="00D6111C" w:rsidRPr="00C05EBE" w:rsidRDefault="00D6111C" w:rsidP="00D6111C">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rsidR="00D6111C" w:rsidRPr="00AB2CD3" w:rsidRDefault="00D6111C" w:rsidP="00D6111C">
      <w:pPr>
        <w:numPr>
          <w:ilvl w:val="0"/>
          <w:numId w:val="1"/>
        </w:numPr>
        <w:tabs>
          <w:tab w:val="clear" w:pos="360"/>
        </w:tabs>
        <w:spacing w:before="0" w:after="240"/>
        <w:ind w:left="709" w:hanging="425"/>
        <w:jc w:val="both"/>
        <w:rPr>
          <w:rFonts w:ascii="Times New Roman" w:hAnsi="Times New Roman"/>
          <w:sz w:val="22"/>
        </w:rPr>
      </w:pPr>
      <w:r w:rsidRPr="00AB2CD3">
        <w:rPr>
          <w:rFonts w:ascii="Times New Roman" w:hAnsi="Times New Roman"/>
          <w:sz w:val="22"/>
        </w:rPr>
        <w:t>specified forms and other relevant documents (Annex V);</w:t>
      </w:r>
    </w:p>
    <w:p w:rsidR="00D6111C" w:rsidRPr="00556F39" w:rsidRDefault="00D6111C" w:rsidP="00D6111C">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Pr="00556F39">
        <w:rPr>
          <w:rFonts w:ascii="Times New Roman" w:hAnsi="Times New Roman"/>
          <w:b/>
          <w:bCs/>
          <w:sz w:val="22"/>
          <w:szCs w:val="22"/>
        </w:rPr>
        <w:t>Addenda shall have the order of precedence of the document they are amending.</w:t>
      </w:r>
      <w:r w:rsidRPr="00556F39" w:rsidDel="00A73B34">
        <w:rPr>
          <w:rFonts w:ascii="Times New Roman" w:hAnsi="Times New Roman"/>
          <w:b/>
          <w:bCs/>
          <w:sz w:val="22"/>
          <w:szCs w:val="22"/>
        </w:rPr>
        <w:t xml:space="preserve"> </w:t>
      </w:r>
    </w:p>
    <w:p w:rsidR="00D6111C" w:rsidRDefault="00D6111C" w:rsidP="00D6111C">
      <w:pPr>
        <w:spacing w:before="0"/>
        <w:ind w:left="1134" w:hanging="1134"/>
        <w:jc w:val="both"/>
        <w:rPr>
          <w:rFonts w:ascii="Times New Roman" w:hAnsi="Times New Roman"/>
          <w:b/>
          <w:sz w:val="24"/>
          <w:szCs w:val="24"/>
        </w:rPr>
      </w:pPr>
    </w:p>
    <w:p w:rsidR="00D6111C" w:rsidRPr="003D6B6C" w:rsidRDefault="00D6111C" w:rsidP="00D6111C">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Pr="003D6B6C">
        <w:rPr>
          <w:rFonts w:ascii="Times New Roman" w:hAnsi="Times New Roman"/>
          <w:b/>
          <w:sz w:val="24"/>
          <w:szCs w:val="24"/>
        </w:rPr>
        <w:t xml:space="preserve">anguage of the </w:t>
      </w:r>
      <w:r>
        <w:rPr>
          <w:rFonts w:ascii="Times New Roman" w:hAnsi="Times New Roman"/>
          <w:b/>
          <w:sz w:val="24"/>
          <w:szCs w:val="24"/>
        </w:rPr>
        <w:t>c</w:t>
      </w:r>
      <w:r w:rsidRPr="003D6B6C">
        <w:rPr>
          <w:rFonts w:ascii="Times New Roman" w:hAnsi="Times New Roman"/>
          <w:b/>
          <w:sz w:val="24"/>
          <w:szCs w:val="24"/>
        </w:rPr>
        <w:t>ontract</w:t>
      </w:r>
    </w:p>
    <w:p w:rsidR="00D6111C" w:rsidRPr="003D6B6C" w:rsidRDefault="00D6111C" w:rsidP="00D6111C">
      <w:pPr>
        <w:ind w:left="1134" w:hanging="567"/>
        <w:rPr>
          <w:rFonts w:ascii="Times New Roman" w:hAnsi="Times New Roman"/>
          <w:sz w:val="22"/>
          <w:szCs w:val="22"/>
        </w:rPr>
      </w:pPr>
      <w:r w:rsidRPr="003D6B6C">
        <w:rPr>
          <w:rFonts w:ascii="Times New Roman" w:hAnsi="Times New Roman"/>
          <w:sz w:val="22"/>
          <w:szCs w:val="22"/>
        </w:rPr>
        <w:t>2.1</w:t>
      </w:r>
      <w:r w:rsidRPr="003D6B6C">
        <w:rPr>
          <w:rFonts w:ascii="Times New Roman" w:hAnsi="Times New Roman"/>
          <w:sz w:val="22"/>
          <w:szCs w:val="22"/>
        </w:rPr>
        <w:tab/>
        <w:t>The language used shall be English.</w:t>
      </w:r>
    </w:p>
    <w:p w:rsidR="00D6111C" w:rsidRPr="003D6B6C" w:rsidRDefault="00D6111C" w:rsidP="00D6111C">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rsidR="00D6111C" w:rsidRPr="003F3783" w:rsidRDefault="00D6111C" w:rsidP="00D6111C">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Pr="003F3783">
        <w:rPr>
          <w:rFonts w:ascii="Times New Roman" w:hAnsi="Times New Roman"/>
          <w:sz w:val="22"/>
          <w:szCs w:val="22"/>
        </w:rPr>
        <w:t>Communication details</w:t>
      </w:r>
    </w:p>
    <w:p w:rsidR="00D6111C" w:rsidRPr="003F3783" w:rsidRDefault="00D6111C" w:rsidP="00D6111C">
      <w:pPr>
        <w:spacing w:before="0"/>
        <w:ind w:left="1134" w:hanging="567"/>
        <w:jc w:val="both"/>
        <w:rPr>
          <w:rFonts w:ascii="Times New Roman" w:hAnsi="Times New Roman"/>
          <w:b/>
          <w:bCs/>
          <w:sz w:val="22"/>
          <w:szCs w:val="22"/>
        </w:rPr>
      </w:pPr>
      <w:bookmarkStart w:id="6" w:name="_Hlk133420420"/>
      <w:bookmarkEnd w:id="5"/>
      <w:r>
        <w:rPr>
          <w:rFonts w:ascii="Times New Roman" w:hAnsi="Times New Roman"/>
          <w:sz w:val="22"/>
          <w:szCs w:val="22"/>
        </w:rPr>
        <w:t>4.4</w:t>
      </w:r>
      <w:r w:rsidRPr="003F3783">
        <w:rPr>
          <w:rFonts w:ascii="Times New Roman" w:hAnsi="Times New Roman"/>
          <w:sz w:val="22"/>
          <w:szCs w:val="22"/>
        </w:rPr>
        <w:tab/>
        <w:t>Communication via electronic exchange system (EES)</w:t>
      </w:r>
      <w:r w:rsidRPr="003F3783">
        <w:rPr>
          <w:rFonts w:ascii="Times New Roman" w:hAnsi="Times New Roman"/>
          <w:b/>
          <w:bCs/>
          <w:sz w:val="22"/>
          <w:szCs w:val="22"/>
        </w:rPr>
        <w:t> </w:t>
      </w:r>
    </w:p>
    <w:p w:rsidR="00D6111C" w:rsidRDefault="00D6111C" w:rsidP="00D6111C">
      <w:pPr>
        <w:spacing w:before="0"/>
        <w:ind w:left="1134"/>
        <w:jc w:val="both"/>
        <w:rPr>
          <w:rFonts w:ascii="Times New Roman" w:hAnsi="Times New Roman"/>
          <w:sz w:val="22"/>
          <w:szCs w:val="22"/>
        </w:rPr>
      </w:pPr>
      <w:r w:rsidRPr="003F3783">
        <w:rPr>
          <w:rFonts w:ascii="Times New Roman" w:hAnsi="Times New Roman"/>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rsidR="00D6111C" w:rsidRPr="00A865AA" w:rsidRDefault="00D6111C" w:rsidP="00D6111C">
      <w:pPr>
        <w:spacing w:before="0"/>
        <w:ind w:left="1134"/>
        <w:jc w:val="both"/>
        <w:rPr>
          <w:rFonts w:ascii="Times New Roman" w:hAnsi="Times New Roman"/>
          <w:sz w:val="22"/>
          <w:szCs w:val="22"/>
        </w:rPr>
      </w:pPr>
      <w:r w:rsidRPr="00A865AA">
        <w:rPr>
          <w:rFonts w:ascii="Times New Roman" w:hAnsi="Times New Roman"/>
          <w:sz w:val="22"/>
          <w:szCs w:val="22"/>
        </w:rPr>
        <w:lastRenderedPageBreak/>
        <w:t>After the entry into force of this contract, at any time during its course the contracting authority may formally notify in writing the contractor that certain communications will be made by electronic means through the EU Funding &amp; Tenders Portal (the Portal), in accordance with the Portal Terms and Conditions and using the forms and templates provided there. The Portal can be accessed via the following URL: https://ec.europa.eu/info/funding-tenders/opportunities/portal/ The notification shall indicate whether all or only certain communications under the contract will take place through the Portal. The notification shall have full legal effect from the date specified therein, which shall allow a reasonable period of time for the contractor to complete all necessary steps to have access to the Portal. The activation of the use of the Portal shall be at no additional cost for the contracting authority.</w:t>
      </w:r>
    </w:p>
    <w:p w:rsidR="00D6111C" w:rsidRPr="00A865AA" w:rsidRDefault="00D6111C" w:rsidP="00D6111C">
      <w:pPr>
        <w:spacing w:before="0"/>
        <w:ind w:left="1134"/>
        <w:jc w:val="both"/>
        <w:rPr>
          <w:rFonts w:ascii="Times New Roman" w:hAnsi="Times New Roman"/>
          <w:sz w:val="22"/>
          <w:szCs w:val="22"/>
        </w:rPr>
      </w:pPr>
      <w:r w:rsidRPr="00A865AA">
        <w:rPr>
          <w:rFonts w:ascii="Times New Roman" w:hAnsi="Times New Roman"/>
          <w:sz w:val="22"/>
          <w:szCs w:val="22"/>
        </w:rPr>
        <w:t>If the use of the Portal is activated, any communication covered by the activation notification related to the implementation of this contract shall be made through the Portal (except if explicitly instructed otherwise by the contracting authority or if communication via the Portal is hindered by factors beyond the control of the parties).</w:t>
      </w:r>
    </w:p>
    <w:p w:rsidR="00D6111C" w:rsidRPr="00A865AA" w:rsidRDefault="00D6111C" w:rsidP="00D6111C">
      <w:pPr>
        <w:spacing w:before="0"/>
        <w:ind w:left="1134"/>
        <w:jc w:val="both"/>
        <w:rPr>
          <w:rFonts w:ascii="Times New Roman" w:hAnsi="Times New Roman"/>
          <w:sz w:val="22"/>
          <w:szCs w:val="22"/>
        </w:rPr>
      </w:pPr>
      <w:r w:rsidRPr="00A865AA">
        <w:rPr>
          <w:rFonts w:ascii="Times New Roman" w:hAnsi="Times New Roman"/>
          <w:sz w:val="22"/>
          <w:szCs w:val="22"/>
        </w:rPr>
        <w:t>Communications by contractors through the Portal must be made by persons authorised according to the Portal Terms and Conditions. 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rsidR="00D6111C" w:rsidRPr="00A865AA" w:rsidRDefault="00D6111C" w:rsidP="00D6111C">
      <w:pPr>
        <w:spacing w:before="0"/>
        <w:ind w:left="1134"/>
        <w:jc w:val="both"/>
        <w:rPr>
          <w:rFonts w:ascii="Times New Roman" w:hAnsi="Times New Roman"/>
          <w:sz w:val="22"/>
          <w:szCs w:val="22"/>
        </w:rPr>
      </w:pPr>
      <w:r w:rsidRPr="00A865AA">
        <w:rPr>
          <w:rFonts w:ascii="Times New Roman" w:hAnsi="Times New Roman"/>
          <w:sz w:val="22"/>
          <w:szCs w:val="22"/>
        </w:rPr>
        <w:t>If the communication via the Portal is hindered, instructions will be provided by the contracting authority by email and may also be published on the Portal.</w:t>
      </w:r>
    </w:p>
    <w:p w:rsidR="00D6111C" w:rsidRDefault="00D6111C" w:rsidP="00D6111C">
      <w:pPr>
        <w:spacing w:before="0"/>
        <w:ind w:left="1134"/>
        <w:jc w:val="both"/>
        <w:rPr>
          <w:rFonts w:ascii="Times New Roman" w:hAnsi="Times New Roman"/>
          <w:sz w:val="22"/>
          <w:szCs w:val="22"/>
        </w:rPr>
      </w:pPr>
      <w:r w:rsidRPr="00A865AA">
        <w:rPr>
          <w:rFonts w:ascii="Times New Roman" w:hAnsi="Times New Roman"/>
          <w:sz w:val="22"/>
          <w:szCs w:val="22"/>
        </w:rPr>
        <w:t>During the course of the contract, the contracting authority reserve(s) the right to further extend the coverage of the communications made through the Portal (if its use has been already activated) or to activate the use of other electronic exchange systems, at no additional cost for the contracting authority.</w:t>
      </w:r>
    </w:p>
    <w:p w:rsidR="00D6111C" w:rsidRPr="003F3783" w:rsidRDefault="00D6111C" w:rsidP="00D6111C">
      <w:pPr>
        <w:spacing w:before="0" w:after="240"/>
        <w:ind w:left="1134"/>
        <w:jc w:val="both"/>
        <w:rPr>
          <w:rFonts w:ascii="Times New Roman" w:hAnsi="Times New Roman"/>
          <w:snapToGrid/>
          <w:color w:val="000000"/>
          <w:sz w:val="22"/>
          <w:szCs w:val="22"/>
          <w:lang w:eastAsia="fr-BE"/>
        </w:rPr>
      </w:pPr>
      <w:r w:rsidRPr="00A865AA">
        <w:rPr>
          <w:rFonts w:ascii="Times New Roman" w:hAnsi="Times New Roman"/>
          <w:snapToGrid/>
          <w:sz w:val="22"/>
          <w:szCs w:val="22"/>
          <w:lang w:eastAsia="fr-BE"/>
        </w:rPr>
        <w:t xml:space="preserve">In case of discrepancy between the clauses of the </w:t>
      </w:r>
      <w:r w:rsidRPr="00A865AA">
        <w:rPr>
          <w:rFonts w:ascii="Times New Roman" w:hAnsi="Times New Roman"/>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rsidR="00D6111C" w:rsidRPr="003F3783" w:rsidRDefault="00D6111C" w:rsidP="00D6111C">
      <w:pPr>
        <w:spacing w:before="0"/>
        <w:ind w:left="1134"/>
        <w:jc w:val="both"/>
        <w:rPr>
          <w:rFonts w:ascii="Times New Roman" w:hAnsi="Times New Roman"/>
          <w:sz w:val="22"/>
          <w:szCs w:val="22"/>
        </w:rPr>
      </w:pPr>
    </w:p>
    <w:p w:rsidR="00D6111C" w:rsidRDefault="00D6111C" w:rsidP="00D6111C">
      <w:pPr>
        <w:ind w:left="1134" w:hanging="992"/>
        <w:jc w:val="both"/>
        <w:rPr>
          <w:rFonts w:ascii="Times New Roman" w:hAnsi="Times New Roman"/>
          <w:iCs/>
          <w:sz w:val="22"/>
          <w:szCs w:val="22"/>
        </w:rPr>
      </w:pPr>
      <w:r>
        <w:rPr>
          <w:rFonts w:ascii="Times New Roman" w:hAnsi="Times New Roman"/>
          <w:sz w:val="22"/>
          <w:szCs w:val="22"/>
        </w:rPr>
        <w:t>4.5 &amp; 4.6</w:t>
      </w:r>
      <w:r>
        <w:rPr>
          <w:rFonts w:ascii="Times New Roman" w:hAnsi="Times New Roman"/>
          <w:sz w:val="22"/>
          <w:szCs w:val="22"/>
        </w:rPr>
        <w:tab/>
      </w:r>
      <w:r w:rsidRPr="003F3783">
        <w:rPr>
          <w:rFonts w:ascii="Times New Roman" w:hAnsi="Times New Roman"/>
          <w:iCs/>
          <w:sz w:val="22"/>
          <w:szCs w:val="22"/>
        </w:rPr>
        <w:t>Mail or email communication </w:t>
      </w:r>
    </w:p>
    <w:p w:rsidR="00D6111C" w:rsidRPr="003F3783" w:rsidRDefault="00D6111C" w:rsidP="00D6111C">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rsidR="00D6111C" w:rsidRPr="003F3783" w:rsidRDefault="00D6111C" w:rsidP="00D6111C">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rsidR="00D6111C" w:rsidRDefault="00D6111C" w:rsidP="00D6111C">
      <w:pPr>
        <w:ind w:left="1134"/>
        <w:jc w:val="both"/>
        <w:rPr>
          <w:rFonts w:ascii="Times New Roman" w:hAnsi="Times New Roman"/>
          <w:snapToGrid/>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D6111C" w:rsidTr="004D63ED">
        <w:tc>
          <w:tcPr>
            <w:tcW w:w="1665" w:type="dxa"/>
            <w:tcBorders>
              <w:top w:val="single" w:sz="4" w:space="0" w:color="auto"/>
              <w:left w:val="single" w:sz="4" w:space="0" w:color="auto"/>
              <w:bottom w:val="single" w:sz="6" w:space="0" w:color="auto"/>
              <w:right w:val="single" w:sz="6"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Full name:</w:t>
            </w:r>
          </w:p>
        </w:tc>
        <w:tc>
          <w:tcPr>
            <w:tcW w:w="5385" w:type="dxa"/>
            <w:tcBorders>
              <w:top w:val="single" w:sz="4" w:space="0" w:color="auto"/>
              <w:left w:val="single" w:sz="6" w:space="0" w:color="auto"/>
              <w:bottom w:val="single" w:sz="6" w:space="0" w:color="auto"/>
              <w:right w:val="single" w:sz="6" w:space="0" w:color="auto"/>
            </w:tcBorders>
            <w:vAlign w:val="center"/>
            <w:hideMark/>
          </w:tcPr>
          <w:p w:rsidR="00D6111C" w:rsidRPr="001A480F" w:rsidRDefault="00D6111C" w:rsidP="004D63ED">
            <w:pPr>
              <w:rPr>
                <w:rFonts w:ascii="Times New Roman" w:hAnsi="Times New Roman"/>
                <w:sz w:val="22"/>
                <w:szCs w:val="22"/>
                <w:lang w:val="sr-Latn-RS"/>
              </w:rPr>
            </w:pPr>
          </w:p>
        </w:tc>
      </w:tr>
      <w:tr w:rsidR="00D6111C" w:rsidTr="004D63ED">
        <w:tc>
          <w:tcPr>
            <w:tcW w:w="1665" w:type="dxa"/>
            <w:tcBorders>
              <w:top w:val="single" w:sz="6" w:space="0" w:color="auto"/>
              <w:left w:val="single" w:sz="4" w:space="0" w:color="auto"/>
              <w:bottom w:val="single" w:sz="6" w:space="0" w:color="auto"/>
              <w:right w:val="single" w:sz="6"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Full official address:</w:t>
            </w:r>
          </w:p>
        </w:tc>
        <w:tc>
          <w:tcPr>
            <w:tcW w:w="5385" w:type="dxa"/>
            <w:tcBorders>
              <w:top w:val="single" w:sz="6" w:space="0" w:color="auto"/>
              <w:left w:val="single" w:sz="6" w:space="0" w:color="auto"/>
              <w:bottom w:val="single" w:sz="6" w:space="0" w:color="auto"/>
              <w:right w:val="single" w:sz="6" w:space="0" w:color="auto"/>
            </w:tcBorders>
            <w:vAlign w:val="center"/>
            <w:hideMark/>
          </w:tcPr>
          <w:p w:rsidR="00D6111C" w:rsidRPr="00300379" w:rsidRDefault="00D6111C" w:rsidP="004D63ED">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rsidR="00D6111C" w:rsidRPr="00300379" w:rsidRDefault="00D6111C" w:rsidP="004D63ED">
            <w:pPr>
              <w:spacing w:before="0" w:after="0"/>
              <w:rPr>
                <w:rFonts w:ascii="Times New Roman" w:hAnsi="Times New Roman"/>
                <w:sz w:val="22"/>
                <w:szCs w:val="22"/>
                <w:lang w:val="nb-NO"/>
              </w:rPr>
            </w:pPr>
            <w:r>
              <w:rPr>
                <w:rFonts w:ascii="Times New Roman" w:hAnsi="Times New Roman"/>
                <w:sz w:val="22"/>
                <w:szCs w:val="22"/>
                <w:lang w:val="nb-NO"/>
              </w:rPr>
              <w:t>Balkanska 53</w:t>
            </w:r>
            <w:r w:rsidRPr="00300379">
              <w:rPr>
                <w:rFonts w:ascii="Times New Roman" w:hAnsi="Times New Roman"/>
                <w:sz w:val="22"/>
                <w:szCs w:val="22"/>
                <w:lang w:val="nb-NO"/>
              </w:rPr>
              <w:t xml:space="preserve">, </w:t>
            </w:r>
          </w:p>
          <w:p w:rsidR="00D6111C" w:rsidRPr="00300379" w:rsidRDefault="00D6111C" w:rsidP="004D63ED">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rsidR="00D6111C" w:rsidRDefault="00D6111C" w:rsidP="004D63ED">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D6111C" w:rsidTr="004D63ED">
        <w:tc>
          <w:tcPr>
            <w:tcW w:w="1665" w:type="dxa"/>
            <w:tcBorders>
              <w:top w:val="single" w:sz="6" w:space="0" w:color="auto"/>
              <w:left w:val="single" w:sz="4" w:space="0" w:color="auto"/>
              <w:bottom w:val="single" w:sz="4" w:space="0" w:color="auto"/>
              <w:right w:val="single" w:sz="6"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rsidR="00D6111C" w:rsidRPr="001A480F" w:rsidRDefault="00D6111C" w:rsidP="004D63ED">
            <w:pPr>
              <w:tabs>
                <w:tab w:val="left" w:pos="34"/>
              </w:tabs>
              <w:rPr>
                <w:rFonts w:ascii="Times New Roman" w:hAnsi="Times New Roman"/>
                <w:sz w:val="22"/>
                <w:szCs w:val="22"/>
                <w:lang w:val="en-US"/>
              </w:rPr>
            </w:pPr>
          </w:p>
        </w:tc>
      </w:tr>
    </w:tbl>
    <w:p w:rsidR="00A07828" w:rsidRDefault="00A07828" w:rsidP="00D6111C">
      <w:pPr>
        <w:ind w:left="1134"/>
        <w:jc w:val="both"/>
        <w:rPr>
          <w:rFonts w:ascii="Times New Roman" w:hAnsi="Times New Roman"/>
          <w:sz w:val="22"/>
          <w:szCs w:val="22"/>
          <w:u w:val="single"/>
        </w:rPr>
      </w:pPr>
    </w:p>
    <w:p w:rsidR="00A07828" w:rsidRDefault="00A07828" w:rsidP="00D6111C">
      <w:pPr>
        <w:ind w:left="1134"/>
        <w:jc w:val="both"/>
        <w:rPr>
          <w:rFonts w:ascii="Times New Roman" w:hAnsi="Times New Roman"/>
          <w:sz w:val="22"/>
          <w:szCs w:val="22"/>
          <w:u w:val="single"/>
        </w:rPr>
      </w:pPr>
    </w:p>
    <w:p w:rsidR="00D6111C" w:rsidRDefault="00D6111C" w:rsidP="00D6111C">
      <w:pPr>
        <w:ind w:left="1134"/>
        <w:jc w:val="both"/>
        <w:rPr>
          <w:rFonts w:ascii="Times New Roman" w:hAnsi="Times New Roman"/>
          <w:sz w:val="22"/>
          <w:szCs w:val="22"/>
        </w:rPr>
      </w:pPr>
      <w:r>
        <w:rPr>
          <w:rFonts w:ascii="Times New Roman" w:hAnsi="Times New Roman"/>
          <w:sz w:val="22"/>
          <w:szCs w:val="22"/>
          <w:u w:val="single"/>
        </w:rPr>
        <w:lastRenderedPageBreak/>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D6111C"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Full Name:</w:t>
            </w:r>
          </w:p>
        </w:tc>
        <w:tc>
          <w:tcPr>
            <w:tcW w:w="5385" w:type="dxa"/>
            <w:tcBorders>
              <w:top w:val="single" w:sz="4" w:space="0" w:color="auto"/>
              <w:left w:val="single" w:sz="4" w:space="0" w:color="auto"/>
              <w:bottom w:val="single" w:sz="4" w:space="0" w:color="auto"/>
              <w:right w:val="single" w:sz="4" w:space="0" w:color="auto"/>
            </w:tcBorders>
          </w:tcPr>
          <w:p w:rsidR="00D6111C" w:rsidRDefault="00D6111C" w:rsidP="004D63ED">
            <w:pPr>
              <w:jc w:val="both"/>
              <w:rPr>
                <w:rFonts w:ascii="Times New Roman" w:hAnsi="Times New Roman"/>
                <w:sz w:val="22"/>
                <w:szCs w:val="22"/>
              </w:rPr>
            </w:pPr>
          </w:p>
        </w:tc>
      </w:tr>
      <w:tr w:rsidR="00D6111C"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tcPr>
          <w:p w:rsidR="00D6111C" w:rsidRDefault="00D6111C" w:rsidP="004D63ED">
            <w:pPr>
              <w:jc w:val="both"/>
              <w:rPr>
                <w:rFonts w:ascii="Times New Roman" w:hAnsi="Times New Roman"/>
                <w:b/>
                <w:sz w:val="22"/>
                <w:szCs w:val="22"/>
              </w:rPr>
            </w:pPr>
            <w:r>
              <w:rPr>
                <w:rFonts w:ascii="Times New Roman" w:hAnsi="Times New Roman"/>
                <w:b/>
                <w:sz w:val="22"/>
                <w:szCs w:val="22"/>
              </w:rPr>
              <w:t>Function:</w:t>
            </w:r>
          </w:p>
        </w:tc>
        <w:tc>
          <w:tcPr>
            <w:tcW w:w="5385" w:type="dxa"/>
            <w:tcBorders>
              <w:top w:val="single" w:sz="4" w:space="0" w:color="auto"/>
              <w:left w:val="single" w:sz="4" w:space="0" w:color="auto"/>
              <w:bottom w:val="single" w:sz="4" w:space="0" w:color="auto"/>
              <w:right w:val="single" w:sz="4" w:space="0" w:color="auto"/>
            </w:tcBorders>
          </w:tcPr>
          <w:p w:rsidR="00D6111C" w:rsidRDefault="00D6111C" w:rsidP="004D63ED">
            <w:pPr>
              <w:jc w:val="both"/>
              <w:rPr>
                <w:rFonts w:ascii="Times New Roman" w:hAnsi="Times New Roman"/>
                <w:sz w:val="22"/>
                <w:szCs w:val="22"/>
              </w:rPr>
            </w:pPr>
          </w:p>
        </w:tc>
      </w:tr>
      <w:tr w:rsidR="00D6111C"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tcPr>
          <w:p w:rsidR="00D6111C" w:rsidRDefault="00D6111C" w:rsidP="004D63ED">
            <w:pPr>
              <w:jc w:val="both"/>
              <w:rPr>
                <w:rFonts w:ascii="Times New Roman" w:hAnsi="Times New Roman"/>
                <w:b/>
                <w:sz w:val="22"/>
                <w:szCs w:val="22"/>
              </w:rPr>
            </w:pPr>
            <w:r>
              <w:rPr>
                <w:rFonts w:ascii="Times New Roman" w:hAnsi="Times New Roman"/>
                <w:b/>
                <w:sz w:val="22"/>
                <w:szCs w:val="22"/>
              </w:rPr>
              <w:t>Company name:</w:t>
            </w:r>
          </w:p>
        </w:tc>
        <w:tc>
          <w:tcPr>
            <w:tcW w:w="5385" w:type="dxa"/>
            <w:tcBorders>
              <w:top w:val="single" w:sz="4" w:space="0" w:color="auto"/>
              <w:left w:val="single" w:sz="4" w:space="0" w:color="auto"/>
              <w:bottom w:val="single" w:sz="4" w:space="0" w:color="auto"/>
              <w:right w:val="single" w:sz="4" w:space="0" w:color="auto"/>
            </w:tcBorders>
          </w:tcPr>
          <w:p w:rsidR="00D6111C" w:rsidRDefault="00D6111C" w:rsidP="004D63ED">
            <w:pPr>
              <w:jc w:val="both"/>
              <w:rPr>
                <w:rFonts w:ascii="Times New Roman" w:hAnsi="Times New Roman"/>
                <w:sz w:val="22"/>
                <w:szCs w:val="22"/>
              </w:rPr>
            </w:pPr>
          </w:p>
        </w:tc>
      </w:tr>
      <w:tr w:rsidR="00D6111C" w:rsidTr="004D63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pStyle w:val="IndexHeading"/>
              <w:spacing w:after="0"/>
              <w:rPr>
                <w:rFonts w:ascii="Times New Roman" w:hAnsi="Times New Roman"/>
                <w:sz w:val="22"/>
                <w:szCs w:val="22"/>
              </w:rPr>
            </w:pPr>
            <w:r>
              <w:rPr>
                <w:rFonts w:ascii="Times New Roman" w:hAnsi="Times New Roman"/>
                <w:sz w:val="22"/>
                <w:szCs w:val="22"/>
              </w:rPr>
              <w:t>Full official address:</w:t>
            </w:r>
          </w:p>
        </w:tc>
        <w:tc>
          <w:tcPr>
            <w:tcW w:w="5385" w:type="dxa"/>
            <w:tcBorders>
              <w:top w:val="single" w:sz="4" w:space="0" w:color="auto"/>
              <w:left w:val="single" w:sz="4" w:space="0" w:color="auto"/>
              <w:bottom w:val="single" w:sz="4" w:space="0" w:color="auto"/>
              <w:right w:val="single" w:sz="4" w:space="0" w:color="auto"/>
            </w:tcBorders>
          </w:tcPr>
          <w:p w:rsidR="00D6111C" w:rsidRDefault="00D6111C" w:rsidP="004D63ED">
            <w:pPr>
              <w:jc w:val="both"/>
              <w:rPr>
                <w:rFonts w:ascii="Times New Roman" w:hAnsi="Times New Roman"/>
                <w:sz w:val="22"/>
                <w:szCs w:val="22"/>
              </w:rPr>
            </w:pPr>
          </w:p>
        </w:tc>
      </w:tr>
      <w:tr w:rsidR="00D6111C" w:rsidTr="004D63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rsidR="00D6111C" w:rsidRDefault="00D6111C" w:rsidP="004D63ED">
            <w:pPr>
              <w:jc w:val="both"/>
              <w:rPr>
                <w:rFonts w:ascii="Times New Roman" w:hAnsi="Times New Roman"/>
                <w:sz w:val="22"/>
                <w:szCs w:val="22"/>
              </w:rPr>
            </w:pPr>
          </w:p>
        </w:tc>
      </w:tr>
    </w:tbl>
    <w:p w:rsidR="00D6111C" w:rsidRDefault="00D6111C" w:rsidP="00D6111C">
      <w:pPr>
        <w:ind w:left="1134"/>
        <w:jc w:val="both"/>
        <w:rPr>
          <w:rFonts w:ascii="Times New Roman" w:hAnsi="Times New Roman"/>
          <w:sz w:val="22"/>
          <w:szCs w:val="22"/>
          <w:u w:val="single"/>
        </w:rPr>
      </w:pPr>
    </w:p>
    <w:p w:rsidR="00D6111C" w:rsidRDefault="00D6111C" w:rsidP="00D6111C">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D6111C" w:rsidTr="004D63ED">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Full name:</w:t>
            </w:r>
          </w:p>
        </w:tc>
        <w:tc>
          <w:tcPr>
            <w:tcW w:w="5414" w:type="dxa"/>
            <w:tcBorders>
              <w:top w:val="single" w:sz="4" w:space="0" w:color="auto"/>
              <w:left w:val="single" w:sz="4" w:space="0" w:color="auto"/>
              <w:bottom w:val="single" w:sz="4" w:space="0" w:color="auto"/>
              <w:right w:val="single" w:sz="4" w:space="0" w:color="auto"/>
            </w:tcBorders>
          </w:tcPr>
          <w:p w:rsidR="00D6111C" w:rsidRPr="00CD53B9" w:rsidRDefault="00D6111C" w:rsidP="004D63ED">
            <w:pPr>
              <w:jc w:val="both"/>
              <w:rPr>
                <w:rFonts w:ascii="Times New Roman" w:hAnsi="Times New Roman"/>
                <w:sz w:val="22"/>
                <w:szCs w:val="22"/>
                <w:lang w:val="sr-Latn-RS"/>
              </w:rPr>
            </w:pPr>
          </w:p>
        </w:tc>
      </w:tr>
      <w:tr w:rsidR="00D6111C" w:rsidTr="004D63ED">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D6111C" w:rsidRPr="00715E61" w:rsidRDefault="00D6111C" w:rsidP="004D63ED">
            <w:pPr>
              <w:pStyle w:val="Index1"/>
            </w:pPr>
            <w:r>
              <w:rPr>
                <w:rFonts w:ascii="Times New Roman" w:hAnsi="Times New Roman"/>
                <w:b/>
                <w:sz w:val="22"/>
                <w:szCs w:val="22"/>
              </w:rPr>
              <w:t>Full official address:</w:t>
            </w:r>
          </w:p>
        </w:tc>
        <w:tc>
          <w:tcPr>
            <w:tcW w:w="5414" w:type="dxa"/>
            <w:tcBorders>
              <w:top w:val="single" w:sz="4" w:space="0" w:color="auto"/>
              <w:left w:val="single" w:sz="4" w:space="0" w:color="auto"/>
              <w:bottom w:val="single" w:sz="4" w:space="0" w:color="auto"/>
              <w:right w:val="single" w:sz="4" w:space="0" w:color="auto"/>
            </w:tcBorders>
          </w:tcPr>
          <w:p w:rsidR="00D6111C" w:rsidRDefault="00D6111C" w:rsidP="004D63ED">
            <w:pPr>
              <w:spacing w:before="0" w:after="0"/>
              <w:jc w:val="both"/>
              <w:rPr>
                <w:rFonts w:ascii="Times New Roman" w:hAnsi="Times New Roman"/>
                <w:sz w:val="22"/>
                <w:szCs w:val="22"/>
                <w:lang w:val="en-US"/>
              </w:rPr>
            </w:pPr>
            <w:r>
              <w:rPr>
                <w:rFonts w:ascii="Times New Roman" w:hAnsi="Times New Roman"/>
                <w:sz w:val="22"/>
                <w:szCs w:val="22"/>
                <w:lang w:val="en-US"/>
              </w:rPr>
              <w:t>Ministry of Agriculture, Forestry and Water management</w:t>
            </w:r>
          </w:p>
          <w:p w:rsidR="00D6111C" w:rsidRDefault="00D6111C" w:rsidP="004D63ED">
            <w:pPr>
              <w:spacing w:before="0" w:after="0"/>
              <w:jc w:val="both"/>
              <w:rPr>
                <w:rFonts w:ascii="Times New Roman" w:hAnsi="Times New Roman"/>
                <w:sz w:val="22"/>
                <w:szCs w:val="22"/>
                <w:lang w:val="en-US"/>
              </w:rPr>
            </w:pP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22-26</w:t>
            </w:r>
          </w:p>
          <w:p w:rsidR="00D6111C" w:rsidRPr="00CD53B9" w:rsidRDefault="00D6111C" w:rsidP="004D63ED">
            <w:pPr>
              <w:spacing w:before="0" w:after="0"/>
              <w:jc w:val="both"/>
              <w:rPr>
                <w:rFonts w:ascii="Times New Roman" w:hAnsi="Times New Roman"/>
                <w:sz w:val="22"/>
                <w:szCs w:val="22"/>
                <w:lang w:val="en-US"/>
              </w:rPr>
            </w:pPr>
            <w:r>
              <w:rPr>
                <w:rFonts w:ascii="Times New Roman" w:hAnsi="Times New Roman"/>
                <w:sz w:val="22"/>
                <w:szCs w:val="22"/>
                <w:lang w:val="en-US"/>
              </w:rPr>
              <w:t>11000 Belgrade</w:t>
            </w:r>
          </w:p>
        </w:tc>
      </w:tr>
      <w:tr w:rsidR="00D6111C" w:rsidTr="004D63ED">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rsidR="00D6111C" w:rsidRPr="001A480F" w:rsidRDefault="00D6111C" w:rsidP="004D63ED">
            <w:pPr>
              <w:rPr>
                <w:rFonts w:ascii="Times New Roman" w:hAnsi="Times New Roman"/>
                <w:sz w:val="22"/>
                <w:szCs w:val="22"/>
                <w:lang w:val="sr-Latn-RS"/>
              </w:rPr>
            </w:pPr>
          </w:p>
        </w:tc>
      </w:tr>
    </w:tbl>
    <w:p w:rsidR="00D6111C" w:rsidRDefault="00D6111C" w:rsidP="00D6111C">
      <w:pPr>
        <w:ind w:left="1134" w:firstLine="36"/>
        <w:rPr>
          <w:rFonts w:ascii="Times New Roman" w:hAnsi="Times New Roman"/>
          <w:sz w:val="22"/>
          <w:szCs w:val="22"/>
          <w:u w:val="single"/>
        </w:rPr>
      </w:pPr>
    </w:p>
    <w:p w:rsidR="00D6111C" w:rsidRPr="006860BD" w:rsidRDefault="00D6111C" w:rsidP="00D6111C">
      <w:pPr>
        <w:ind w:left="1134" w:firstLine="36"/>
        <w:rPr>
          <w:rFonts w:ascii="Times New Roman" w:hAnsi="Times New Roman"/>
          <w:sz w:val="22"/>
          <w:szCs w:val="22"/>
          <w:u w:val="single"/>
        </w:rPr>
      </w:pPr>
      <w:r w:rsidRPr="006860BD">
        <w:rPr>
          <w:rFonts w:ascii="Times New Roman" w:hAnsi="Times New Roman"/>
          <w:sz w:val="22"/>
          <w:szCs w:val="22"/>
          <w:u w:val="single"/>
        </w:rPr>
        <w:t xml:space="preserve">For the End Recipient: </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D6111C" w:rsidTr="004D63ED">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Full name:</w:t>
            </w:r>
          </w:p>
        </w:tc>
        <w:tc>
          <w:tcPr>
            <w:tcW w:w="5414" w:type="dxa"/>
            <w:tcBorders>
              <w:top w:val="single" w:sz="4" w:space="0" w:color="auto"/>
              <w:left w:val="single" w:sz="4" w:space="0" w:color="auto"/>
              <w:bottom w:val="single" w:sz="4" w:space="0" w:color="auto"/>
              <w:right w:val="single" w:sz="4" w:space="0" w:color="auto"/>
            </w:tcBorders>
          </w:tcPr>
          <w:p w:rsidR="00D6111C" w:rsidRPr="00CD53B9" w:rsidRDefault="00D6111C" w:rsidP="004D63ED">
            <w:pPr>
              <w:jc w:val="both"/>
              <w:rPr>
                <w:rFonts w:ascii="Times New Roman" w:hAnsi="Times New Roman"/>
                <w:sz w:val="22"/>
                <w:szCs w:val="22"/>
                <w:lang w:val="sr-Latn-RS"/>
              </w:rPr>
            </w:pPr>
          </w:p>
        </w:tc>
      </w:tr>
      <w:tr w:rsidR="00D6111C" w:rsidTr="004D63ED">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pStyle w:val="IndexHeading"/>
              <w:spacing w:after="0"/>
              <w:rPr>
                <w:rFonts w:ascii="Times New Roman" w:hAnsi="Times New Roman"/>
                <w:sz w:val="22"/>
                <w:szCs w:val="22"/>
              </w:rPr>
            </w:pPr>
            <w:r>
              <w:rPr>
                <w:rFonts w:ascii="Times New Roman" w:hAnsi="Times New Roman"/>
                <w:b w:val="0"/>
                <w:sz w:val="22"/>
                <w:szCs w:val="22"/>
              </w:rPr>
              <w:t>Full official a</w:t>
            </w:r>
            <w:r>
              <w:rPr>
                <w:rFonts w:ascii="Times New Roman" w:hAnsi="Times New Roman"/>
                <w:sz w:val="22"/>
                <w:szCs w:val="22"/>
              </w:rPr>
              <w:t>ddress:</w:t>
            </w:r>
          </w:p>
        </w:tc>
        <w:tc>
          <w:tcPr>
            <w:tcW w:w="5414" w:type="dxa"/>
            <w:tcBorders>
              <w:top w:val="single" w:sz="4" w:space="0" w:color="auto"/>
              <w:left w:val="single" w:sz="4" w:space="0" w:color="auto"/>
              <w:bottom w:val="single" w:sz="4" w:space="0" w:color="auto"/>
              <w:right w:val="single" w:sz="4" w:space="0" w:color="auto"/>
            </w:tcBorders>
          </w:tcPr>
          <w:p w:rsidR="00D6111C" w:rsidRPr="00CD53B9" w:rsidRDefault="00D6111C" w:rsidP="004D63ED">
            <w:pPr>
              <w:spacing w:before="0" w:after="0"/>
              <w:jc w:val="both"/>
              <w:rPr>
                <w:rFonts w:ascii="Times New Roman" w:hAnsi="Times New Roman"/>
                <w:sz w:val="22"/>
                <w:szCs w:val="22"/>
                <w:lang w:val="en-US"/>
              </w:rPr>
            </w:pPr>
          </w:p>
        </w:tc>
      </w:tr>
      <w:tr w:rsidR="00D6111C" w:rsidTr="004D63ED">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rsidR="00D6111C" w:rsidRDefault="00D6111C" w:rsidP="004D63ED">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rsidR="00D6111C" w:rsidRPr="00CD53B9" w:rsidRDefault="00D6111C" w:rsidP="004D63ED">
            <w:pPr>
              <w:rPr>
                <w:rFonts w:ascii="Times New Roman" w:hAnsi="Times New Roman"/>
                <w:sz w:val="22"/>
                <w:szCs w:val="22"/>
                <w:lang w:val="sr-Cyrl-RS"/>
              </w:rPr>
            </w:pPr>
          </w:p>
        </w:tc>
      </w:tr>
    </w:tbl>
    <w:p w:rsidR="00D6111C" w:rsidRPr="007A665A" w:rsidRDefault="00D6111C" w:rsidP="00D6111C">
      <w:pPr>
        <w:spacing w:before="240"/>
        <w:ind w:left="1134" w:hanging="1134"/>
        <w:jc w:val="both"/>
        <w:rPr>
          <w:rFonts w:ascii="Times New Roman" w:hAnsi="Times New Roman"/>
          <w:b/>
          <w:sz w:val="22"/>
          <w:szCs w:val="22"/>
        </w:rPr>
      </w:pPr>
      <w:bookmarkStart w:id="7" w:name="_Toc124934898"/>
      <w:bookmarkEnd w:id="6"/>
      <w:r w:rsidRPr="007A665A">
        <w:rPr>
          <w:rFonts w:ascii="Times New Roman" w:hAnsi="Times New Roman"/>
          <w:b/>
          <w:sz w:val="22"/>
          <w:szCs w:val="22"/>
        </w:rPr>
        <w:t>Article 7</w:t>
      </w:r>
      <w:r w:rsidRPr="007A665A">
        <w:rPr>
          <w:rFonts w:ascii="Times New Roman" w:hAnsi="Times New Roman"/>
          <w:b/>
          <w:sz w:val="22"/>
          <w:szCs w:val="22"/>
        </w:rPr>
        <w:tab/>
        <w:t>Supply of documents</w:t>
      </w:r>
      <w:bookmarkEnd w:id="7"/>
    </w:p>
    <w:p w:rsidR="00D6111C" w:rsidRPr="007A665A" w:rsidRDefault="00D6111C" w:rsidP="00D6111C">
      <w:pPr>
        <w:jc w:val="both"/>
        <w:rPr>
          <w:rFonts w:ascii="Times New Roman" w:hAnsi="Times New Roman"/>
          <w:sz w:val="22"/>
          <w:szCs w:val="22"/>
          <w:u w:val="single"/>
          <w:lang w:val="en-US"/>
        </w:rPr>
      </w:pPr>
      <w:bookmarkStart w:id="8" w:name="_Toc124934899"/>
      <w:r w:rsidRPr="007A665A">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rsidR="00D6111C" w:rsidRPr="007A665A" w:rsidRDefault="00D6111C" w:rsidP="00D6111C">
      <w:pPr>
        <w:jc w:val="both"/>
        <w:rPr>
          <w:rFonts w:ascii="Times New Roman" w:hAnsi="Times New Roman"/>
          <w:sz w:val="22"/>
          <w:szCs w:val="22"/>
          <w:lang w:val="en-US"/>
        </w:rPr>
      </w:pPr>
      <w:r w:rsidRPr="007A665A">
        <w:rPr>
          <w:rFonts w:ascii="Times New Roman" w:hAnsi="Times New Roman"/>
          <w:sz w:val="22"/>
          <w:szCs w:val="22"/>
          <w:lang w:val="en-US"/>
        </w:rPr>
        <w:t xml:space="preserve">In order to facilitate the processing of the documents handed to the Ministry of Finance, Department for Contracting and Financing of EU Funded </w:t>
      </w:r>
      <w:proofErr w:type="spellStart"/>
      <w:r w:rsidRPr="007A665A">
        <w:rPr>
          <w:rFonts w:ascii="Times New Roman" w:hAnsi="Times New Roman"/>
          <w:sz w:val="22"/>
          <w:szCs w:val="22"/>
          <w:lang w:val="en-US"/>
        </w:rPr>
        <w:t>Programmes</w:t>
      </w:r>
      <w:proofErr w:type="spellEnd"/>
      <w:r w:rsidRPr="007A665A">
        <w:rPr>
          <w:rFonts w:ascii="Times New Roman" w:hAnsi="Times New Roman"/>
          <w:sz w:val="22"/>
          <w:szCs w:val="22"/>
          <w:lang w:val="en-US"/>
        </w:rPr>
        <w:t xml:space="preserve"> (CFCU), the Contactor shall also submit an electronic version of the documents. The electronic version shall be identical to the original (printed) version, however in case of any discrepancies between the electronic version and the original (printed version), the latter will prevail.</w:t>
      </w:r>
    </w:p>
    <w:p w:rsidR="00D6111C" w:rsidRPr="007A665A" w:rsidRDefault="00D6111C" w:rsidP="00D6111C">
      <w:pPr>
        <w:jc w:val="both"/>
        <w:rPr>
          <w:rFonts w:ascii="Times New Roman" w:hAnsi="Times New Roman"/>
          <w:b/>
          <w:sz w:val="22"/>
          <w:szCs w:val="22"/>
        </w:rPr>
      </w:pPr>
      <w:r w:rsidRPr="007A665A">
        <w:rPr>
          <w:rFonts w:ascii="Times New Roman" w:hAnsi="Times New Roman"/>
          <w:sz w:val="22"/>
          <w:szCs w:val="22"/>
          <w:lang w:val="en-US"/>
        </w:rPr>
        <w:t>The digital versions of the documents can be submitted on a CD, USB or sent to the e-mail address specified under Article 4</w:t>
      </w:r>
      <w:r w:rsidR="00E7186C">
        <w:rPr>
          <w:rFonts w:ascii="Times New Roman" w:hAnsi="Times New Roman"/>
          <w:sz w:val="22"/>
          <w:szCs w:val="22"/>
          <w:lang w:val="sr-Cyrl-RS"/>
        </w:rPr>
        <w:t>.</w:t>
      </w:r>
      <w:r w:rsidR="00774DD1">
        <w:rPr>
          <w:rFonts w:ascii="Times New Roman" w:hAnsi="Times New Roman"/>
          <w:sz w:val="22"/>
          <w:szCs w:val="22"/>
          <w:lang w:val="en-US"/>
        </w:rPr>
        <w:t>5</w:t>
      </w:r>
      <w:r w:rsidR="00E7186C">
        <w:rPr>
          <w:rFonts w:ascii="Times New Roman" w:hAnsi="Times New Roman"/>
          <w:sz w:val="22"/>
          <w:szCs w:val="22"/>
          <w:lang w:val="sr-Cyrl-RS"/>
        </w:rPr>
        <w:t xml:space="preserve"> &amp; 4.6</w:t>
      </w:r>
      <w:r w:rsidRPr="007A665A">
        <w:rPr>
          <w:rFonts w:ascii="Times New Roman" w:hAnsi="Times New Roman"/>
          <w:sz w:val="22"/>
          <w:szCs w:val="22"/>
          <w:lang w:val="en-US"/>
        </w:rPr>
        <w:t>. The name of the Contractor as well as the contract number and title should be clearly indicated in the e-mail subject or on the CD or USB.</w:t>
      </w:r>
    </w:p>
    <w:p w:rsidR="00D6111C" w:rsidRPr="003D6B6C" w:rsidRDefault="00D6111C" w:rsidP="00D6111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rsidR="00D6111C" w:rsidRPr="00AB2CD3" w:rsidRDefault="00D6111C" w:rsidP="00D6111C">
      <w:pPr>
        <w:tabs>
          <w:tab w:val="left" w:pos="1134"/>
        </w:tabs>
        <w:jc w:val="both"/>
        <w:rPr>
          <w:rFonts w:ascii="Times New Roman" w:hAnsi="Times New Roman"/>
          <w:sz w:val="22"/>
          <w:szCs w:val="22"/>
        </w:rPr>
      </w:pPr>
      <w:r w:rsidRPr="00AB2CD3">
        <w:rPr>
          <w:rFonts w:ascii="Times New Roman" w:hAnsi="Times New Roman"/>
          <w:sz w:val="22"/>
          <w:szCs w:val="22"/>
        </w:rPr>
        <w:t>The Contractor shall comply with all applicable national laws during performance of the Contract.</w:t>
      </w:r>
    </w:p>
    <w:p w:rsidR="00D6111C" w:rsidRPr="00AB2CD3" w:rsidRDefault="00D6111C" w:rsidP="00D6111C">
      <w:pPr>
        <w:tabs>
          <w:tab w:val="left" w:pos="1134"/>
        </w:tabs>
        <w:jc w:val="both"/>
        <w:rPr>
          <w:rFonts w:ascii="Times New Roman" w:hAnsi="Times New Roman"/>
          <w:sz w:val="22"/>
          <w:szCs w:val="22"/>
        </w:rPr>
      </w:pPr>
      <w:r w:rsidRPr="00AB2CD3">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rsidR="00D6111C" w:rsidRDefault="00D6111C" w:rsidP="00D6111C">
      <w:pPr>
        <w:tabs>
          <w:tab w:val="left" w:pos="1134"/>
        </w:tabs>
        <w:jc w:val="both"/>
        <w:rPr>
          <w:rFonts w:ascii="Times New Roman" w:hAnsi="Times New Roman"/>
          <w:sz w:val="22"/>
          <w:szCs w:val="22"/>
        </w:rPr>
      </w:pPr>
      <w:r w:rsidRPr="00AB2CD3">
        <w:rPr>
          <w:rFonts w:ascii="Times New Roman" w:hAnsi="Times New Roman"/>
          <w:sz w:val="22"/>
          <w:szCs w:val="22"/>
        </w:rPr>
        <w:lastRenderedPageBreak/>
        <w:t>If the Contractor is late in applying for or fails to apply for such permits or licences, then it may not claim for extensions in the Period of Implementation or additional costs as a result.</w:t>
      </w:r>
    </w:p>
    <w:p w:rsidR="00D6111C" w:rsidRPr="00B5440B" w:rsidRDefault="00D6111C" w:rsidP="00D6111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General obligations</w:t>
      </w:r>
    </w:p>
    <w:p w:rsidR="00D6111C" w:rsidRDefault="00D6111C" w:rsidP="00D6111C">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Pr="00AB2CD3">
        <w:rPr>
          <w:rFonts w:ascii="Times New Roman" w:hAnsi="Times New Roman"/>
          <w:sz w:val="22"/>
          <w:szCs w:val="22"/>
        </w:rPr>
        <w:t xml:space="preserve">The Contractor is responsible for necessary measures to ensure the visibility of the European Union financing/co-financing. These activities must comply with the rules lay down in the Communication and Visibility Manual for EU External Actions published on the website of DG International Cooperation and Development: </w:t>
      </w:r>
      <w:hyperlink r:id="rId8" w:history="1">
        <w:r w:rsidRPr="00F365D1">
          <w:rPr>
            <w:rStyle w:val="Hyperlink"/>
            <w:rFonts w:ascii="Times New Roman" w:hAnsi="Times New Roman"/>
            <w:sz w:val="22"/>
            <w:szCs w:val="22"/>
          </w:rPr>
          <w:t>https://international-partnerships.ec.europa.eu/knowledge-hub/communicating-and-raising-eu-visibility-guidance-external-actions_en</w:t>
        </w:r>
      </w:hyperlink>
    </w:p>
    <w:p w:rsidR="00D6111C" w:rsidRPr="003D6B6C" w:rsidRDefault="00D6111C" w:rsidP="00D6111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rsidR="00D6111C" w:rsidRDefault="00D6111C" w:rsidP="00D6111C">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Pr="00A865AA">
        <w:rPr>
          <w:rFonts w:ascii="Times New Roman" w:hAnsi="Times New Roman"/>
          <w:sz w:val="22"/>
          <w:szCs w:val="22"/>
          <w:lang w:val="en-IE"/>
        </w:rPr>
        <w:t>All goods purchased can originate in any country.</w:t>
      </w:r>
      <w:r>
        <w:rPr>
          <w:rFonts w:ascii="Times New Roman" w:hAnsi="Times New Roman"/>
          <w:sz w:val="22"/>
          <w:szCs w:val="22"/>
          <w:lang w:val="en-IE"/>
        </w:rPr>
        <w:t xml:space="preserve"> </w:t>
      </w:r>
    </w:p>
    <w:p w:rsidR="00D6111C" w:rsidRPr="003D6B6C" w:rsidRDefault="00D6111C" w:rsidP="00D6111C">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rsidR="00D6111C" w:rsidRPr="003D6B6C" w:rsidRDefault="00D6111C" w:rsidP="00D6111C">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Pr="00AB2CD3">
        <w:rPr>
          <w:rFonts w:ascii="Times New Roman" w:hAnsi="Times New Roman"/>
          <w:sz w:val="22"/>
          <w:szCs w:val="22"/>
        </w:rPr>
        <w:t>The amount of the performance guarantee shall be 10 % of the total contract price, including any amounts stipulated in addenda to the contract</w:t>
      </w:r>
      <w:r>
        <w:rPr>
          <w:rFonts w:ascii="Times New Roman" w:hAnsi="Times New Roman"/>
          <w:sz w:val="22"/>
          <w:szCs w:val="22"/>
        </w:rPr>
        <w:t>.</w:t>
      </w:r>
    </w:p>
    <w:p w:rsidR="00D6111C" w:rsidRPr="003D6B6C" w:rsidRDefault="00D6111C" w:rsidP="00D6111C">
      <w:pPr>
        <w:spacing w:before="240"/>
        <w:ind w:left="1134" w:hanging="1134"/>
        <w:jc w:val="both"/>
        <w:rPr>
          <w:rFonts w:ascii="Times New Roman" w:hAnsi="Times New Roman"/>
          <w:b/>
          <w:sz w:val="24"/>
          <w:szCs w:val="24"/>
        </w:rPr>
      </w:pPr>
      <w:bookmarkStart w:id="11"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11"/>
    </w:p>
    <w:p w:rsidR="00D6111C" w:rsidRPr="003D6B6C" w:rsidRDefault="00D6111C" w:rsidP="00D6111C">
      <w:pPr>
        <w:tabs>
          <w:tab w:val="left" w:pos="1134"/>
        </w:tabs>
        <w:spacing w:before="0"/>
        <w:ind w:left="1134" w:hanging="708"/>
        <w:jc w:val="both"/>
        <w:rPr>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4A7B11">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Pr="004A7B11">
        <w:rPr>
          <w:rFonts w:ascii="Times New Roman" w:hAnsi="Times New Roman"/>
          <w:sz w:val="22"/>
          <w:szCs w:val="22"/>
        </w:rPr>
        <w:t>ex factory</w:t>
      </w:r>
      <w:proofErr w:type="spellEnd"/>
      <w:r w:rsidRPr="004A7B11">
        <w:rPr>
          <w:rFonts w:ascii="Times New Roman" w:hAnsi="Times New Roman"/>
          <w:sz w:val="22"/>
          <w:szCs w:val="22"/>
        </w:rPr>
        <w:t>/warehouse) until the issuance of the Provisional Acceptance Certificate</w:t>
      </w:r>
      <w:r>
        <w:rPr>
          <w:rFonts w:ascii="Times New Roman" w:hAnsi="Times New Roman"/>
          <w:sz w:val="22"/>
          <w:szCs w:val="22"/>
        </w:rPr>
        <w:t>.</w:t>
      </w:r>
      <w:r w:rsidRPr="004A7B11">
        <w:rPr>
          <w:rFonts w:ascii="Times New Roman" w:hAnsi="Times New Roman"/>
          <w:sz w:val="22"/>
          <w:szCs w:val="22"/>
        </w:rPr>
        <w:t xml:space="preserve"> </w:t>
      </w:r>
    </w:p>
    <w:p w:rsidR="00D6111C" w:rsidRPr="003D6B6C" w:rsidRDefault="00D6111C" w:rsidP="00D6111C">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Pr="003D6B6C">
        <w:rPr>
          <w:rFonts w:ascii="Times New Roman" w:hAnsi="Times New Roman"/>
          <w:b/>
          <w:sz w:val="24"/>
          <w:szCs w:val="24"/>
        </w:rPr>
        <w:t>Programme of implementation of tasks</w:t>
      </w:r>
    </w:p>
    <w:p w:rsidR="00D6111C" w:rsidRPr="00AB2CD3"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13" w:name="_Toc124934904"/>
      <w:r w:rsidRPr="00AB2CD3">
        <w:rPr>
          <w:rFonts w:ascii="Times New Roman" w:hAnsi="Times New Roman"/>
          <w:sz w:val="22"/>
          <w:szCs w:val="22"/>
        </w:rPr>
        <w:t xml:space="preserve">The Contractor shall within 30 days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rsidR="00D6111C" w:rsidRDefault="00D6111C" w:rsidP="00D6111C">
      <w:pPr>
        <w:ind w:left="1134" w:hanging="709"/>
        <w:jc w:val="both"/>
        <w:rPr>
          <w:rFonts w:ascii="Times New Roman" w:hAnsi="Times New Roman"/>
          <w:sz w:val="22"/>
          <w:szCs w:val="22"/>
        </w:rPr>
      </w:pPr>
      <w:r w:rsidRPr="00AB2CD3">
        <w:rPr>
          <w:rFonts w:ascii="Times New Roman" w:hAnsi="Times New Roman"/>
          <w:sz w:val="22"/>
          <w:szCs w:val="22"/>
        </w:rPr>
        <w:tab/>
        <w:t xml:space="preserve">If the progress of the implementation of the tasks does not conform to the programme, in line with the Article </w:t>
      </w:r>
      <w:r w:rsidR="00E7186C">
        <w:rPr>
          <w:rFonts w:ascii="Times New Roman" w:hAnsi="Times New Roman"/>
          <w:sz w:val="22"/>
          <w:szCs w:val="22"/>
          <w:lang w:val="sr-Cyrl-RS"/>
        </w:rPr>
        <w:t>13</w:t>
      </w:r>
      <w:r w:rsidRPr="00AB2CD3">
        <w:rPr>
          <w:rFonts w:ascii="Times New Roman" w:hAnsi="Times New Roman"/>
          <w:sz w:val="22"/>
          <w:szCs w:val="22"/>
        </w:rPr>
        <w:t xml:space="preserve"> of the General Conditions, Project Manager may issue an administrative order requesting submission to the Contracting Authority of a revised programme by the Contractor within specified deadline.</w:t>
      </w:r>
    </w:p>
    <w:p w:rsidR="00D6111C" w:rsidRPr="003D6B6C" w:rsidRDefault="00D6111C" w:rsidP="00D6111C">
      <w:pPr>
        <w:jc w:val="both"/>
        <w:rPr>
          <w:rFonts w:ascii="Times New Roman" w:hAnsi="Times New Roman"/>
          <w:b/>
          <w:sz w:val="24"/>
          <w:szCs w:val="24"/>
        </w:rPr>
      </w:pPr>
      <w:r>
        <w:rPr>
          <w:rFonts w:ascii="Times New Roman" w:hAnsi="Times New Roman"/>
          <w:b/>
          <w:sz w:val="24"/>
          <w:szCs w:val="24"/>
        </w:rPr>
        <w:t xml:space="preserve">Article </w:t>
      </w:r>
      <w:proofErr w:type="gramStart"/>
      <w:r>
        <w:rPr>
          <w:rFonts w:ascii="Times New Roman" w:hAnsi="Times New Roman"/>
          <w:b/>
          <w:sz w:val="24"/>
          <w:szCs w:val="24"/>
        </w:rPr>
        <w:t xml:space="preserve">14 </w:t>
      </w:r>
      <w:r w:rsidR="0071648D">
        <w:rPr>
          <w:rFonts w:ascii="Times New Roman" w:hAnsi="Times New Roman"/>
          <w:b/>
          <w:sz w:val="24"/>
          <w:szCs w:val="24"/>
        </w:rPr>
        <w:t xml:space="preserve"> </w:t>
      </w:r>
      <w:r w:rsidRPr="003D6B6C">
        <w:rPr>
          <w:rFonts w:ascii="Times New Roman" w:hAnsi="Times New Roman"/>
          <w:b/>
          <w:sz w:val="24"/>
          <w:szCs w:val="24"/>
        </w:rPr>
        <w:t>Contractor’s</w:t>
      </w:r>
      <w:proofErr w:type="gramEnd"/>
      <w:r w:rsidRPr="003D6B6C">
        <w:rPr>
          <w:rFonts w:ascii="Times New Roman" w:hAnsi="Times New Roman"/>
          <w:b/>
          <w:sz w:val="24"/>
          <w:szCs w:val="24"/>
        </w:rPr>
        <w:t xml:space="preserve"> drawings</w:t>
      </w:r>
      <w:bookmarkEnd w:id="13"/>
    </w:p>
    <w:p w:rsidR="00D6111C" w:rsidRPr="00AB2CD3"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Pr="00AB2CD3">
        <w:rPr>
          <w:rFonts w:ascii="Times New Roman" w:hAnsi="Times New Roman"/>
          <w:sz w:val="22"/>
          <w:szCs w:val="22"/>
        </w:rPr>
        <w:t xml:space="preserve">All equipment must be supplied with the technical documentation requested in the Technical Specifications. </w:t>
      </w:r>
    </w:p>
    <w:p w:rsidR="00D6111C" w:rsidRPr="00AB2CD3" w:rsidRDefault="00D6111C" w:rsidP="00D6111C">
      <w:pPr>
        <w:ind w:left="1134" w:hanging="709"/>
        <w:jc w:val="both"/>
        <w:rPr>
          <w:rFonts w:ascii="Times New Roman" w:hAnsi="Times New Roman"/>
          <w:sz w:val="22"/>
          <w:szCs w:val="22"/>
        </w:rPr>
      </w:pPr>
      <w:r>
        <w:rPr>
          <w:rFonts w:ascii="Times New Roman" w:hAnsi="Times New Roman"/>
          <w:sz w:val="22"/>
          <w:szCs w:val="22"/>
        </w:rPr>
        <w:t xml:space="preserve">             </w:t>
      </w:r>
      <w:r w:rsidRPr="00AB2CD3">
        <w:rPr>
          <w:rFonts w:ascii="Times New Roman" w:hAnsi="Times New Roman"/>
          <w:sz w:val="22"/>
          <w:szCs w:val="22"/>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support, extension and they may publish the same in future tenders.  Any moral intellectual property rights of the Contractor as regards a right to credit are hereby waived.</w:t>
      </w:r>
    </w:p>
    <w:p w:rsidR="00D6111C" w:rsidRPr="003D6B6C" w:rsidRDefault="00D6111C" w:rsidP="00D6111C">
      <w:pPr>
        <w:ind w:left="1134" w:hanging="709"/>
        <w:jc w:val="both"/>
        <w:rPr>
          <w:rFonts w:ascii="Times New Roman" w:hAnsi="Times New Roman"/>
          <w:sz w:val="22"/>
          <w:szCs w:val="22"/>
        </w:rPr>
      </w:pPr>
      <w:r w:rsidRPr="00AB2CD3">
        <w:rPr>
          <w:rFonts w:ascii="Times New Roman" w:hAnsi="Times New Roman"/>
          <w:sz w:val="22"/>
          <w:szCs w:val="22"/>
        </w:rPr>
        <w:t xml:space="preserve">             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upon a request.</w:t>
      </w:r>
    </w:p>
    <w:p w:rsidR="00D6111C" w:rsidRDefault="00D6111C" w:rsidP="00D6111C">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lastRenderedPageBreak/>
        <w:t>Article 15</w:t>
      </w:r>
      <w:r w:rsidRPr="003D6B6C">
        <w:rPr>
          <w:rFonts w:ascii="Times New Roman" w:hAnsi="Times New Roman"/>
          <w:b/>
          <w:sz w:val="24"/>
          <w:szCs w:val="24"/>
        </w:rPr>
        <w:tab/>
        <w:t>Sufficiency of tender prices</w:t>
      </w:r>
      <w:bookmarkEnd w:id="14"/>
    </w:p>
    <w:p w:rsidR="00D6111C" w:rsidRPr="003D6B6C" w:rsidRDefault="00D6111C" w:rsidP="00D6111C">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rsidR="00D6111C" w:rsidRPr="003D6B6C"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4A7B11">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rsidR="00D6111C" w:rsidRPr="003D6B6C" w:rsidRDefault="00D6111C" w:rsidP="00D6111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D6111C" w:rsidRPr="003D6B6C"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Pr="00523FA2">
        <w:rPr>
          <w:rFonts w:ascii="Times New Roman" w:hAnsi="Times New Roman"/>
          <w:sz w:val="22"/>
          <w:szCs w:val="22"/>
        </w:rPr>
        <w:t>The European Commission and the Republic of Serbia have agreed in the Framework Partnership Agreement signed on 20 December 2022 to fully exonerate the following taxes: customs duties, import duties, taxes or fiscal charges in connection with import, value added tax, documentary stamp or registration duties or fiscal charges having an equivalent effect</w:t>
      </w:r>
      <w:r w:rsidR="004E3BD3">
        <w:rPr>
          <w:rFonts w:ascii="Times New Roman" w:hAnsi="Times New Roman"/>
          <w:sz w:val="22"/>
          <w:szCs w:val="22"/>
        </w:rPr>
        <w:t>.</w:t>
      </w:r>
    </w:p>
    <w:p w:rsidR="00D6111C" w:rsidRPr="003D6B6C" w:rsidRDefault="00D6111C" w:rsidP="00D6111C">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Pr>
          <w:rFonts w:ascii="Times New Roman" w:hAnsi="Times New Roman"/>
          <w:b/>
          <w:sz w:val="24"/>
          <w:szCs w:val="24"/>
        </w:rPr>
        <w:t xml:space="preserve">Delivery </w:t>
      </w:r>
      <w:r w:rsidRPr="003D6B6C">
        <w:rPr>
          <w:rFonts w:ascii="Times New Roman" w:hAnsi="Times New Roman"/>
          <w:b/>
          <w:sz w:val="24"/>
          <w:szCs w:val="24"/>
        </w:rPr>
        <w:t>order</w:t>
      </w:r>
      <w:bookmarkEnd w:id="15"/>
      <w:r w:rsidRPr="003D6B6C">
        <w:rPr>
          <w:rFonts w:ascii="Times New Roman" w:hAnsi="Times New Roman"/>
          <w:b/>
          <w:sz w:val="24"/>
          <w:szCs w:val="24"/>
        </w:rPr>
        <w:t xml:space="preserve"> </w:t>
      </w:r>
    </w:p>
    <w:p w:rsidR="00D6111C"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t>18.</w:t>
      </w:r>
      <w:r>
        <w:rPr>
          <w:rFonts w:ascii="Times New Roman" w:hAnsi="Times New Roman"/>
          <w:sz w:val="22"/>
          <w:szCs w:val="22"/>
        </w:rPr>
        <w:t>2</w:t>
      </w:r>
      <w:r>
        <w:rPr>
          <w:rFonts w:ascii="Times New Roman" w:hAnsi="Times New Roman"/>
          <w:sz w:val="22"/>
          <w:szCs w:val="22"/>
        </w:rPr>
        <w:tab/>
      </w:r>
      <w:r w:rsidRPr="00523FA2">
        <w:rPr>
          <w:rFonts w:ascii="Times New Roman" w:hAnsi="Times New Roman"/>
          <w:sz w:val="22"/>
          <w:szCs w:val="22"/>
        </w:rPr>
        <w:t>The contracting authority shall inform the contractor by delivery order of the date on which delivery of the goods/implementation of the tasks shall begin.</w:t>
      </w:r>
    </w:p>
    <w:p w:rsidR="00D6111C" w:rsidRPr="003D6B6C" w:rsidRDefault="00D6111C" w:rsidP="00D6111C">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Period of implementation</w:t>
      </w:r>
      <w:bookmarkEnd w:id="16"/>
      <w:r w:rsidRPr="003D6B6C">
        <w:rPr>
          <w:rFonts w:ascii="Times New Roman" w:hAnsi="Times New Roman"/>
          <w:b/>
          <w:sz w:val="24"/>
          <w:szCs w:val="24"/>
        </w:rPr>
        <w:t xml:space="preserve"> of the tasks</w:t>
      </w:r>
    </w:p>
    <w:p w:rsidR="00D6111C" w:rsidRDefault="00D6111C" w:rsidP="00D6111C">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Pr>
          <w:rFonts w:ascii="Times New Roman" w:hAnsi="Times New Roman"/>
          <w:sz w:val="22"/>
        </w:rPr>
        <w:t>T</w:t>
      </w:r>
      <w:r w:rsidRPr="0043240C">
        <w:rPr>
          <w:rFonts w:ascii="Times New Roman" w:hAnsi="Times New Roman"/>
          <w:sz w:val="22"/>
        </w:rPr>
        <w:t xml:space="preserve">he </w:t>
      </w:r>
      <w:r w:rsidRPr="00772E0E">
        <w:rPr>
          <w:rFonts w:ascii="Times New Roman" w:hAnsi="Times New Roman"/>
          <w:b/>
          <w:sz w:val="22"/>
        </w:rPr>
        <w:t>time limits for delivery</w:t>
      </w:r>
      <w:r w:rsidRPr="0043240C">
        <w:rPr>
          <w:rFonts w:ascii="Times New Roman" w:hAnsi="Times New Roman"/>
          <w:sz w:val="22"/>
        </w:rPr>
        <w:t xml:space="preserve"> shall be </w:t>
      </w:r>
      <w:r w:rsidRPr="009062AE">
        <w:rPr>
          <w:rFonts w:ascii="Times New Roman" w:hAnsi="Times New Roman"/>
          <w:sz w:val="22"/>
        </w:rPr>
        <w:t>120 days and the Incoterm applicable shall be DDP</w:t>
      </w:r>
      <w:r>
        <w:rPr>
          <w:rFonts w:ascii="Times New Roman" w:hAnsi="Times New Roman"/>
          <w:sz w:val="22"/>
        </w:rPr>
        <w:t>.</w:t>
      </w:r>
    </w:p>
    <w:p w:rsidR="00D6111C" w:rsidRPr="003D6B6C" w:rsidRDefault="00D6111C" w:rsidP="00D6111C">
      <w:pPr>
        <w:pStyle w:val="CommentText"/>
        <w:ind w:left="1134"/>
        <w:rPr>
          <w:rFonts w:ascii="Times New Roman" w:hAnsi="Times New Roman"/>
          <w:b/>
          <w:sz w:val="22"/>
          <w:szCs w:val="22"/>
        </w:rPr>
      </w:pPr>
      <w:r w:rsidRPr="0043240C">
        <w:rPr>
          <w:rFonts w:ascii="Times New Roman" w:hAnsi="Times New Roman"/>
          <w:sz w:val="22"/>
        </w:rPr>
        <w:t xml:space="preserve">The </w:t>
      </w:r>
      <w:r w:rsidRPr="00772E0E">
        <w:rPr>
          <w:rFonts w:ascii="Times New Roman" w:hAnsi="Times New Roman"/>
          <w:b/>
          <w:sz w:val="22"/>
        </w:rPr>
        <w:t>implementation period of tasks</w:t>
      </w:r>
      <w:r w:rsidRPr="0043240C">
        <w:rPr>
          <w:rFonts w:ascii="Times New Roman" w:hAnsi="Times New Roman"/>
          <w:sz w:val="22"/>
        </w:rPr>
        <w:t xml:space="preserve"> shall</w:t>
      </w:r>
      <w:r>
        <w:rPr>
          <w:rFonts w:ascii="Times New Roman" w:hAnsi="Times New Roman"/>
          <w:sz w:val="22"/>
        </w:rPr>
        <w:t xml:space="preserve"> </w:t>
      </w:r>
      <w:r w:rsidRPr="009062AE">
        <w:rPr>
          <w:rFonts w:ascii="Times New Roman" w:hAnsi="Times New Roman"/>
          <w:sz w:val="22"/>
        </w:rPr>
        <w:t>be 180 days from the commencement date until the provisional acceptance</w:t>
      </w:r>
      <w:r>
        <w:rPr>
          <w:rFonts w:ascii="Times New Roman" w:hAnsi="Times New Roman"/>
          <w:sz w:val="22"/>
        </w:rPr>
        <w:t>.</w:t>
      </w:r>
    </w:p>
    <w:p w:rsidR="00D6111C" w:rsidRPr="003D6B6C" w:rsidRDefault="00D6111C" w:rsidP="00D6111C">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rsidR="00D6111C" w:rsidRPr="003D6B6C"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t>24.2</w:t>
      </w:r>
      <w:r w:rsidRPr="003D6B6C">
        <w:rPr>
          <w:rFonts w:ascii="Times New Roman" w:hAnsi="Times New Roman"/>
          <w:sz w:val="22"/>
          <w:szCs w:val="22"/>
        </w:rPr>
        <w:tab/>
      </w:r>
      <w:r>
        <w:rPr>
          <w:rFonts w:ascii="Times New Roman" w:hAnsi="Times New Roman"/>
          <w:sz w:val="22"/>
          <w:szCs w:val="22"/>
        </w:rPr>
        <w:t>No preliminary technical acceptance is required.</w:t>
      </w:r>
    </w:p>
    <w:p w:rsidR="00D6111C" w:rsidRPr="003D6B6C" w:rsidRDefault="00D6111C" w:rsidP="00D6111C">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rsidR="00D6111C" w:rsidRPr="004C6073" w:rsidRDefault="00D6111C" w:rsidP="00D6111C">
      <w:pPr>
        <w:tabs>
          <w:tab w:val="num" w:pos="1440"/>
        </w:tabs>
        <w:ind w:left="1134" w:hanging="567"/>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Pr>
          <w:rFonts w:ascii="Times New Roman" w:hAnsi="Times New Roman"/>
          <w:bCs/>
          <w:sz w:val="22"/>
          <w:szCs w:val="22"/>
        </w:rPr>
        <w:t>T</w:t>
      </w:r>
      <w:r w:rsidRPr="004C6073">
        <w:rPr>
          <w:rFonts w:ascii="Times New Roman" w:hAnsi="Times New Roman"/>
          <w:sz w:val="22"/>
          <w:szCs w:val="22"/>
        </w:rPr>
        <w:t>he Contractor shall deliver all equipment at the place of acceptance as per the address mentioned in the Annex II+III: Technical Specifications</w:t>
      </w:r>
      <w:r>
        <w:rPr>
          <w:rFonts w:ascii="Times New Roman" w:hAnsi="Times New Roman"/>
          <w:sz w:val="22"/>
          <w:szCs w:val="22"/>
        </w:rPr>
        <w:t xml:space="preserve"> </w:t>
      </w:r>
      <w:r w:rsidRPr="004C6073">
        <w:rPr>
          <w:rFonts w:ascii="Times New Roman" w:hAnsi="Times New Roman"/>
          <w:sz w:val="22"/>
          <w:szCs w:val="22"/>
        </w:rPr>
        <w:t>+</w:t>
      </w:r>
      <w:r>
        <w:rPr>
          <w:rFonts w:ascii="Times New Roman" w:hAnsi="Times New Roman"/>
          <w:sz w:val="22"/>
          <w:szCs w:val="22"/>
        </w:rPr>
        <w:t xml:space="preserve"> </w:t>
      </w:r>
      <w:r w:rsidRPr="004C6073">
        <w:rPr>
          <w:rFonts w:ascii="Times New Roman" w:hAnsi="Times New Roman"/>
          <w:sz w:val="22"/>
          <w:szCs w:val="22"/>
        </w:rPr>
        <w:t>Technical Offer.</w:t>
      </w:r>
    </w:p>
    <w:p w:rsidR="00D6111C" w:rsidRPr="003D6B6C" w:rsidRDefault="00D6111C" w:rsidP="00D6111C">
      <w:pPr>
        <w:tabs>
          <w:tab w:val="num" w:pos="1440"/>
        </w:tabs>
        <w:ind w:left="1134" w:hanging="567"/>
        <w:jc w:val="both"/>
        <w:rPr>
          <w:rFonts w:ascii="Times New Roman" w:hAnsi="Times New Roman"/>
          <w:b/>
          <w:sz w:val="22"/>
          <w:szCs w:val="22"/>
        </w:rPr>
      </w:pPr>
      <w:r w:rsidRPr="004C6073">
        <w:rPr>
          <w:rFonts w:ascii="Times New Roman" w:hAnsi="Times New Roman"/>
          <w:sz w:val="22"/>
          <w:szCs w:val="22"/>
        </w:rPr>
        <w:tab/>
        <w:t>Directorate for Agrarian Payments will be responsible for installation, configuration and start-up of the equipment as well as inspection and testing. The inspection and testing of all equipment will be started and completed within a maximum 15 calendar days after delivery, installation and putting into service.</w:t>
      </w:r>
    </w:p>
    <w:p w:rsidR="00D6111C" w:rsidRPr="003D6B6C" w:rsidRDefault="00D6111C" w:rsidP="00D6111C">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Pr="003D6B6C">
        <w:rPr>
          <w:rFonts w:ascii="Times New Roman" w:hAnsi="Times New Roman"/>
          <w:b/>
          <w:sz w:val="24"/>
          <w:szCs w:val="24"/>
        </w:rPr>
        <w:t>General principles for payments</w:t>
      </w:r>
    </w:p>
    <w:p w:rsidR="00D6111C" w:rsidRPr="003D6B6C" w:rsidRDefault="00D6111C" w:rsidP="00D6111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Euros.</w:t>
      </w:r>
    </w:p>
    <w:p w:rsidR="00D6111C" w:rsidRPr="003D6B6C" w:rsidRDefault="00D6111C" w:rsidP="00D6111C">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Ministry of Finance, Department for </w:t>
      </w:r>
      <w:r w:rsidRPr="00EF10E7">
        <w:rPr>
          <w:rFonts w:ascii="Times New Roman" w:hAnsi="Times New Roman"/>
          <w:sz w:val="22"/>
          <w:szCs w:val="22"/>
        </w:rPr>
        <w:t xml:space="preserve">Contracting and Financing of EU funded Programmes (CFCU), </w:t>
      </w:r>
      <w:proofErr w:type="spellStart"/>
      <w:r>
        <w:rPr>
          <w:rFonts w:ascii="Times New Roman" w:hAnsi="Times New Roman"/>
          <w:sz w:val="22"/>
          <w:szCs w:val="22"/>
        </w:rPr>
        <w:t>Balkanska</w:t>
      </w:r>
      <w:proofErr w:type="spellEnd"/>
      <w:r>
        <w:rPr>
          <w:rFonts w:ascii="Times New Roman" w:hAnsi="Times New Roman"/>
          <w:sz w:val="22"/>
          <w:szCs w:val="22"/>
        </w:rPr>
        <w:t xml:space="preserve"> 53</w:t>
      </w:r>
      <w:r w:rsidRPr="00EF10E7">
        <w:rPr>
          <w:rFonts w:ascii="Times New Roman" w:hAnsi="Times New Roman"/>
          <w:sz w:val="22"/>
          <w:szCs w:val="22"/>
        </w:rPr>
        <w:t>, 110</w:t>
      </w:r>
      <w:r>
        <w:rPr>
          <w:rFonts w:ascii="Times New Roman" w:hAnsi="Times New Roman"/>
          <w:sz w:val="22"/>
          <w:szCs w:val="22"/>
        </w:rPr>
        <w:t xml:space="preserve">00 Belgrade, </w:t>
      </w:r>
      <w:r w:rsidRPr="00EF10E7">
        <w:rPr>
          <w:rFonts w:ascii="Times New Roman" w:hAnsi="Times New Roman"/>
          <w:sz w:val="22"/>
          <w:szCs w:val="22"/>
        </w:rPr>
        <w:t>Republic of Serbia.</w:t>
      </w:r>
    </w:p>
    <w:p w:rsidR="00D6111C" w:rsidRPr="003D6B6C" w:rsidRDefault="00D6111C" w:rsidP="00D6111C">
      <w:pPr>
        <w:tabs>
          <w:tab w:val="right" w:pos="9885"/>
        </w:tabs>
        <w:ind w:left="1134"/>
        <w:jc w:val="both"/>
        <w:rPr>
          <w:rFonts w:ascii="Times New Roman" w:hAnsi="Times New Roman"/>
          <w:sz w:val="22"/>
          <w:szCs w:val="22"/>
        </w:rPr>
      </w:pPr>
      <w:r w:rsidRPr="006860BD">
        <w:rPr>
          <w:rFonts w:ascii="Times New Roman" w:hAnsi="Times New Roman"/>
          <w:sz w:val="22"/>
          <w:szCs w:val="22"/>
        </w:rPr>
        <w:t xml:space="preserve">In the case of indirect management ex ante procedures and where invoices are presented to the authorities of the country of the contracting authority, </w:t>
      </w:r>
      <w:r>
        <w:rPr>
          <w:rFonts w:ascii="Times New Roman" w:hAnsi="Times New Roman"/>
          <w:sz w:val="22"/>
          <w:szCs w:val="22"/>
        </w:rPr>
        <w:t>t</w:t>
      </w:r>
      <w:r w:rsidRPr="00A31A3C">
        <w:rPr>
          <w:rFonts w:ascii="Times New Roman" w:hAnsi="Times New Roman"/>
          <w:sz w:val="22"/>
          <w:szCs w:val="22"/>
        </w:rPr>
        <w:t xml:space="preserve">he Contractor must inform the European Commission at EU Delegation to the Republic of Serbia, </w:t>
      </w:r>
      <w:proofErr w:type="spellStart"/>
      <w:r w:rsidRPr="00A31A3C">
        <w:rPr>
          <w:rFonts w:ascii="Times New Roman" w:hAnsi="Times New Roman"/>
          <w:sz w:val="22"/>
          <w:szCs w:val="22"/>
        </w:rPr>
        <w:t>Vladimira</w:t>
      </w:r>
      <w:proofErr w:type="spellEnd"/>
      <w:r w:rsidRPr="00A31A3C">
        <w:rPr>
          <w:rFonts w:ascii="Times New Roman" w:hAnsi="Times New Roman"/>
          <w:sz w:val="22"/>
          <w:szCs w:val="22"/>
        </w:rPr>
        <w:t xml:space="preserve"> </w:t>
      </w:r>
      <w:proofErr w:type="spellStart"/>
      <w:r w:rsidRPr="00A31A3C">
        <w:rPr>
          <w:rFonts w:ascii="Times New Roman" w:hAnsi="Times New Roman"/>
          <w:sz w:val="22"/>
          <w:szCs w:val="22"/>
        </w:rPr>
        <w:t>Popovica</w:t>
      </w:r>
      <w:proofErr w:type="spellEnd"/>
      <w:r w:rsidRPr="00A31A3C">
        <w:rPr>
          <w:rFonts w:ascii="Times New Roman" w:hAnsi="Times New Roman"/>
          <w:sz w:val="22"/>
          <w:szCs w:val="22"/>
        </w:rPr>
        <w:t xml:space="preserve"> 40/V (Avenue 19a GTC Building), 11070 New Belgrade, Republic of Serbia, thereof by sending a copy of the correspond</w:t>
      </w:r>
      <w:r>
        <w:rPr>
          <w:rFonts w:ascii="Times New Roman" w:hAnsi="Times New Roman"/>
          <w:sz w:val="22"/>
          <w:szCs w:val="22"/>
        </w:rPr>
        <w:t>ence.</w:t>
      </w:r>
    </w:p>
    <w:p w:rsidR="00D6111C" w:rsidRPr="003D6B6C"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00EC75D0">
        <w:rPr>
          <w:rFonts w:ascii="Times New Roman" w:hAnsi="Times New Roman"/>
          <w:sz w:val="22"/>
          <w:szCs w:val="22"/>
        </w:rPr>
        <w:t>6</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rsidR="00D6111C" w:rsidRPr="003D6B6C" w:rsidRDefault="00D6111C" w:rsidP="00D6111C">
      <w:pPr>
        <w:ind w:left="1134" w:hanging="709"/>
        <w:jc w:val="both"/>
        <w:rPr>
          <w:rFonts w:ascii="Times New Roman" w:hAnsi="Times New Roman"/>
          <w:sz w:val="22"/>
          <w:szCs w:val="22"/>
        </w:rPr>
      </w:pPr>
      <w:r w:rsidRPr="003D6B6C">
        <w:rPr>
          <w:rFonts w:ascii="Times New Roman" w:hAnsi="Times New Roman"/>
          <w:sz w:val="22"/>
          <w:szCs w:val="22"/>
        </w:rPr>
        <w:t>26.</w:t>
      </w:r>
      <w:r w:rsidR="00EC75D0">
        <w:rPr>
          <w:rFonts w:ascii="Times New Roman" w:hAnsi="Times New Roman"/>
          <w:sz w:val="22"/>
          <w:szCs w:val="22"/>
        </w:rPr>
        <w:t>9</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 xml:space="preserve">ontractor must </w:t>
      </w:r>
      <w:r w:rsidR="00E7186C">
        <w:rPr>
          <w:rFonts w:ascii="Times New Roman" w:hAnsi="Times New Roman"/>
          <w:sz w:val="22"/>
          <w:szCs w:val="22"/>
        </w:rPr>
        <w:t>submit</w:t>
      </w:r>
      <w:r w:rsidRPr="003D6B6C">
        <w:rPr>
          <w:rFonts w:ascii="Times New Roman" w:hAnsi="Times New Roman"/>
          <w:sz w:val="22"/>
          <w:szCs w:val="22"/>
        </w:rPr>
        <w:t xml:space="preserve"> to the authority referred to in paragraph 26.1 above:</w:t>
      </w:r>
    </w:p>
    <w:p w:rsidR="00D6111C" w:rsidRDefault="00D6111C" w:rsidP="00D6111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financing</w:t>
      </w:r>
      <w:r>
        <w:rPr>
          <w:rFonts w:ascii="Times New Roman" w:hAnsi="Times New Roman"/>
          <w:sz w:val="22"/>
          <w:szCs w:val="22"/>
        </w:rPr>
        <w:t xml:space="preserve">, </w:t>
      </w:r>
      <w:r w:rsidR="0071648D">
        <w:rPr>
          <w:rFonts w:ascii="Times New Roman" w:hAnsi="Times New Roman"/>
          <w:sz w:val="22"/>
          <w:szCs w:val="22"/>
        </w:rPr>
        <w:t xml:space="preserve">the invoice and </w:t>
      </w:r>
      <w:r w:rsidRPr="00F438DB">
        <w:rPr>
          <w:rFonts w:ascii="Times New Roman" w:hAnsi="Times New Roman"/>
          <w:bCs/>
          <w:sz w:val="22"/>
          <w:szCs w:val="22"/>
        </w:rPr>
        <w:t>the pre-financing guarantee</w:t>
      </w:r>
      <w:r w:rsidR="00FA6468">
        <w:rPr>
          <w:rFonts w:ascii="Times New Roman" w:hAnsi="Times New Roman"/>
          <w:bCs/>
          <w:sz w:val="22"/>
          <w:szCs w:val="22"/>
          <w:lang w:val="sr-Cyrl-RS"/>
        </w:rPr>
        <w:t>;</w:t>
      </w:r>
    </w:p>
    <w:p w:rsidR="00D6111C" w:rsidRPr="00B7446F" w:rsidRDefault="00D6111C" w:rsidP="00D6111C">
      <w:pPr>
        <w:ind w:left="1560" w:hanging="390"/>
        <w:jc w:val="both"/>
        <w:rPr>
          <w:rFonts w:ascii="Times New Roman" w:hAnsi="Times New Roman"/>
          <w:bCs/>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 in triplicate </w:t>
      </w:r>
      <w:r w:rsidR="00EC75D0" w:rsidRPr="00EC75D0">
        <w:rPr>
          <w:rFonts w:ascii="Times New Roman" w:hAnsi="Times New Roman"/>
          <w:sz w:val="22"/>
          <w:szCs w:val="22"/>
        </w:rPr>
        <w:t>and the application for the certificate of provisional acceptance, and if applicable, the certificates of origin for the supplies delivered and Annex V - VAT instructions indicating the group members shares for VAT purposes.</w:t>
      </w:r>
      <w:bookmarkStart w:id="20" w:name="_GoBack"/>
      <w:bookmarkEnd w:id="20"/>
    </w:p>
    <w:p w:rsidR="00D6111C" w:rsidRPr="003D6B6C" w:rsidRDefault="00D6111C" w:rsidP="00D6111C">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w:t>
      </w:r>
      <w:r w:rsidR="00EC75D0">
        <w:rPr>
          <w:rFonts w:ascii="Times New Roman" w:hAnsi="Times New Roman"/>
          <w:sz w:val="22"/>
          <w:szCs w:val="22"/>
        </w:rPr>
        <w:t>13</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rsidR="00D6111C" w:rsidRPr="003D6B6C" w:rsidRDefault="00D6111C" w:rsidP="00D6111C">
      <w:pPr>
        <w:spacing w:before="240"/>
        <w:ind w:left="1134" w:hanging="1134"/>
        <w:jc w:val="both"/>
        <w:rPr>
          <w:rFonts w:ascii="Times New Roman" w:hAnsi="Times New Roman"/>
          <w:b/>
          <w:sz w:val="24"/>
          <w:szCs w:val="24"/>
        </w:rPr>
      </w:pPr>
      <w:bookmarkStart w:id="2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D6111C" w:rsidRPr="003D6B6C" w:rsidRDefault="00D6111C" w:rsidP="00D6111C">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28.2</w:t>
      </w:r>
      <w:r w:rsidRPr="003D6B6C">
        <w:rPr>
          <w:rFonts w:ascii="Times New Roman" w:hAnsi="Times New Roman"/>
          <w:b/>
          <w:sz w:val="22"/>
          <w:szCs w:val="22"/>
        </w:rPr>
        <w:tab/>
      </w:r>
      <w:r w:rsidRPr="000A1987">
        <w:rPr>
          <w:rFonts w:ascii="Times New Roman" w:hAnsi="Times New Roman"/>
          <w:snapToGrid/>
          <w:sz w:val="22"/>
          <w:szCs w:val="22"/>
          <w:lang w:eastAsia="en-GB"/>
        </w:rPr>
        <w:t>By derogation from Article 28.2 of the general conditions, o</w:t>
      </w:r>
      <w:r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D6111C" w:rsidRDefault="00D6111C" w:rsidP="00D6111C">
      <w:pPr>
        <w:autoSpaceDE w:val="0"/>
        <w:autoSpaceDN w:val="0"/>
        <w:adjustRightInd w:val="0"/>
        <w:jc w:val="both"/>
        <w:rPr>
          <w:rFonts w:ascii="Times New Roman" w:hAnsi="Times New Roman"/>
          <w:b/>
          <w:sz w:val="24"/>
          <w:szCs w:val="24"/>
        </w:rPr>
      </w:pPr>
      <w:r>
        <w:rPr>
          <w:rFonts w:ascii="Times New Roman" w:hAnsi="Times New Roman"/>
          <w:b/>
          <w:sz w:val="24"/>
          <w:szCs w:val="24"/>
        </w:rPr>
        <w:t xml:space="preserve">Article 29 </w:t>
      </w:r>
      <w:r w:rsidRPr="003D6B6C">
        <w:rPr>
          <w:rFonts w:ascii="Times New Roman" w:hAnsi="Times New Roman"/>
          <w:b/>
          <w:sz w:val="24"/>
          <w:szCs w:val="24"/>
        </w:rPr>
        <w:t>Delivery</w:t>
      </w:r>
      <w:bookmarkEnd w:id="21"/>
    </w:p>
    <w:p w:rsidR="00D6111C" w:rsidRPr="003D6B6C" w:rsidRDefault="00D6111C" w:rsidP="00D6111C">
      <w:pPr>
        <w:spacing w:before="240"/>
        <w:ind w:left="1134" w:hanging="68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 xml:space="preserve">     T</w:t>
      </w:r>
      <w:r w:rsidRPr="00BD1517">
        <w:rPr>
          <w:rFonts w:ascii="Times New Roman" w:hAnsi="Times New Roman"/>
          <w:sz w:val="22"/>
          <w:szCs w:val="22"/>
        </w:rPr>
        <w:t>he Incoterm applicable shall be</w:t>
      </w:r>
      <w:r>
        <w:rPr>
          <w:rFonts w:ascii="Times New Roman" w:hAnsi="Times New Roman"/>
          <w:sz w:val="22"/>
          <w:szCs w:val="22"/>
        </w:rPr>
        <w:t xml:space="preserve"> </w:t>
      </w:r>
      <w:r w:rsidRPr="009062AE">
        <w:rPr>
          <w:rFonts w:ascii="Times New Roman" w:hAnsi="Times New Roman"/>
          <w:sz w:val="22"/>
          <w:szCs w:val="22"/>
        </w:rPr>
        <w:t>DDP</w:t>
      </w:r>
      <w:r w:rsidRPr="009062AE">
        <w:rPr>
          <w:rFonts w:ascii="Times New Roman" w:hAnsi="Times New Roman"/>
          <w:sz w:val="22"/>
          <w:vertAlign w:val="superscript"/>
        </w:rPr>
        <w:footnoteReference w:id="1"/>
      </w:r>
    </w:p>
    <w:p w:rsidR="00D6111C" w:rsidRDefault="00D6111C" w:rsidP="00D6111C">
      <w:pPr>
        <w:spacing w:before="0"/>
        <w:ind w:left="1134" w:hanging="709"/>
        <w:jc w:val="both"/>
        <w:rPr>
          <w:rFonts w:ascii="Times New Roman" w:hAnsi="Times New Roman"/>
          <w:sz w:val="22"/>
          <w:szCs w:val="22"/>
        </w:rPr>
      </w:pPr>
      <w:r w:rsidRPr="003D6B6C">
        <w:rPr>
          <w:rFonts w:ascii="Times New Roman" w:hAnsi="Times New Roman"/>
          <w:sz w:val="22"/>
          <w:szCs w:val="22"/>
        </w:rPr>
        <w:t>29.3</w:t>
      </w:r>
      <w:r w:rsidRPr="003D6B6C">
        <w:rPr>
          <w:rFonts w:ascii="Times New Roman" w:hAnsi="Times New Roman"/>
          <w:b/>
          <w:sz w:val="22"/>
          <w:szCs w:val="22"/>
        </w:rPr>
        <w:tab/>
      </w:r>
      <w:r w:rsidRPr="009062AE">
        <w:rPr>
          <w:rFonts w:ascii="Times New Roman" w:hAnsi="Times New Roman"/>
          <w:sz w:val="22"/>
          <w:szCs w:val="22"/>
        </w:rPr>
        <w:t>The packaging shall become the property of the recipient subject to environmental considerations.</w:t>
      </w:r>
    </w:p>
    <w:p w:rsidR="00D6111C" w:rsidRPr="000A7A9F" w:rsidRDefault="00D6111C" w:rsidP="00D6111C">
      <w:pPr>
        <w:spacing w:before="0"/>
        <w:ind w:left="1134"/>
        <w:jc w:val="both"/>
        <w:rPr>
          <w:rFonts w:ascii="Times New Roman" w:hAnsi="Times New Roman"/>
          <w:b/>
          <w:sz w:val="22"/>
          <w:szCs w:val="22"/>
        </w:rPr>
      </w:pPr>
      <w:r w:rsidRPr="000A7A9F">
        <w:rPr>
          <w:rFonts w:ascii="Times New Roman" w:hAnsi="Times New Roman"/>
          <w:sz w:val="22"/>
          <w:szCs w:val="22"/>
        </w:rPr>
        <w:t>Each packaged supply item must have on the outside a sticker label identifying:</w:t>
      </w:r>
    </w:p>
    <w:p w:rsidR="00D6111C" w:rsidRPr="000A7A9F" w:rsidRDefault="00D6111C" w:rsidP="00D6111C">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a) the Supply item number,</w:t>
      </w:r>
    </w:p>
    <w:p w:rsidR="00D6111C" w:rsidRPr="000A7A9F" w:rsidRDefault="00D6111C" w:rsidP="00D6111C">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b) lot number;</w:t>
      </w:r>
    </w:p>
    <w:p w:rsidR="00D6111C" w:rsidRPr="000A7A9F" w:rsidRDefault="00D6111C" w:rsidP="00D6111C">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rsidR="00D6111C" w:rsidRPr="000A7A9F" w:rsidRDefault="00D6111C" w:rsidP="00D6111C">
      <w:pPr>
        <w:tabs>
          <w:tab w:val="left" w:pos="1170"/>
        </w:tabs>
        <w:spacing w:before="0"/>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rsidR="00D6111C" w:rsidRDefault="00D6111C" w:rsidP="00D6111C">
      <w:pPr>
        <w:ind w:left="1134" w:hanging="1134"/>
        <w:jc w:val="both"/>
        <w:rPr>
          <w:rFonts w:ascii="Times New Roman" w:hAnsi="Times New Roman"/>
          <w:sz w:val="22"/>
          <w:szCs w:val="22"/>
        </w:rPr>
      </w:pPr>
      <w:r>
        <w:rPr>
          <w:rFonts w:ascii="Times New Roman" w:hAnsi="Times New Roman"/>
          <w:sz w:val="22"/>
          <w:szCs w:val="22"/>
        </w:rPr>
        <w:t xml:space="preserve">                                                          </w:t>
      </w:r>
      <w:r w:rsidRPr="002222E9">
        <w:rPr>
          <w:rFonts w:ascii="Times New Roman" w:hAnsi="Times New Roman"/>
          <w:noProof/>
          <w:snapToGrid/>
          <w:lang w:val="en-US"/>
        </w:rPr>
        <w:t xml:space="preserve">         </w:t>
      </w:r>
      <w:r>
        <w:rPr>
          <w:rFonts w:ascii="Times New Roman" w:hAnsi="Times New Roman"/>
          <w:noProof/>
          <w:snapToGrid/>
          <w:shd w:val="clear" w:color="auto" w:fill="CCCCCC"/>
          <w:lang w:val="en-US"/>
        </w:rPr>
        <w:t xml:space="preserve"> </w:t>
      </w:r>
      <w:r w:rsidRPr="00813017">
        <w:rPr>
          <w:rFonts w:ascii="Times New Roman" w:hAnsi="Times New Roman"/>
          <w:noProof/>
          <w:snapToGrid/>
          <w:shd w:val="clear" w:color="auto" w:fill="CCCCCC"/>
          <w:lang w:val="en-US"/>
        </w:rPr>
        <w:drawing>
          <wp:inline distT="0" distB="0" distL="0" distR="0" wp14:anchorId="78228842" wp14:editId="5FD23C5E">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r>
        <w:rPr>
          <w:rFonts w:ascii="Times New Roman" w:hAnsi="Times New Roman"/>
          <w:sz w:val="22"/>
          <w:szCs w:val="22"/>
        </w:rPr>
        <w:t xml:space="preserve">  </w:t>
      </w:r>
      <w:r w:rsidRPr="003D6B6C">
        <w:rPr>
          <w:rFonts w:ascii="Times New Roman" w:hAnsi="Times New Roman"/>
          <w:sz w:val="22"/>
          <w:szCs w:val="22"/>
        </w:rPr>
        <w:tab/>
      </w:r>
    </w:p>
    <w:p w:rsidR="00D6111C" w:rsidRPr="000A7A9F" w:rsidRDefault="00D6111C" w:rsidP="00D6111C">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rsidR="00D6111C" w:rsidRPr="000A7A9F" w:rsidRDefault="00D6111C" w:rsidP="00D6111C">
      <w:pPr>
        <w:spacing w:before="0" w:after="0"/>
        <w:ind w:left="1080"/>
        <w:jc w:val="center"/>
        <w:rPr>
          <w:rFonts w:ascii="Times New Roman" w:hAnsi="Times New Roman"/>
          <w:bCs/>
          <w:sz w:val="22"/>
          <w:szCs w:val="22"/>
        </w:rPr>
      </w:pPr>
    </w:p>
    <w:p w:rsidR="00D6111C" w:rsidRPr="000A7A9F" w:rsidRDefault="00D6111C" w:rsidP="00D6111C">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rsidR="00D6111C" w:rsidRDefault="00D6111C" w:rsidP="00D6111C">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Pr="008E4BC1">
        <w:rPr>
          <w:rFonts w:ascii="Times New Roman" w:hAnsi="Times New Roman"/>
          <w:sz w:val="22"/>
          <w:szCs w:val="22"/>
        </w:rPr>
        <w:t xml:space="preserve">“Supply of equipment necessary for establishing Integrated Administration and Control System (IACS) I </w:t>
      </w:r>
      <w:proofErr w:type="gramStart"/>
      <w:r w:rsidRPr="008E4BC1">
        <w:rPr>
          <w:rFonts w:ascii="Times New Roman" w:hAnsi="Times New Roman"/>
          <w:sz w:val="22"/>
          <w:szCs w:val="22"/>
        </w:rPr>
        <w:t>phase</w:t>
      </w:r>
      <w:r w:rsidRPr="00CA490A">
        <w:rPr>
          <w:rStyle w:val="Strong"/>
          <w:rFonts w:ascii="Times New Roman" w:hAnsi="Times New Roman"/>
          <w:sz w:val="22"/>
          <w:szCs w:val="22"/>
        </w:rPr>
        <w:t>“</w:t>
      </w:r>
      <w:proofErr w:type="gramEnd"/>
    </w:p>
    <w:p w:rsidR="00D6111C" w:rsidRPr="000A7A9F" w:rsidRDefault="00D6111C" w:rsidP="00D6111C">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Pr>
          <w:rFonts w:ascii="Times New Roman" w:hAnsi="Times New Roman"/>
          <w:sz w:val="22"/>
          <w:szCs w:val="22"/>
        </w:rPr>
        <w:t>EC-NEAR/BEG/2025/EA-OP/0003</w:t>
      </w:r>
    </w:p>
    <w:p w:rsidR="00D6111C" w:rsidRDefault="00D6111C" w:rsidP="00D6111C">
      <w:pPr>
        <w:spacing w:before="0" w:after="0"/>
        <w:rPr>
          <w:rFonts w:ascii="Times New Roman" w:hAnsi="Times New Roman"/>
          <w:bCs/>
          <w:snapToGrid/>
          <w:sz w:val="22"/>
          <w:szCs w:val="22"/>
          <w:lang w:val="en-US"/>
        </w:rPr>
      </w:pPr>
      <w:r>
        <w:rPr>
          <w:rFonts w:ascii="Times New Roman" w:hAnsi="Times New Roman"/>
          <w:b/>
          <w:sz w:val="22"/>
          <w:szCs w:val="22"/>
        </w:rPr>
        <w:t xml:space="preserve"> </w:t>
      </w:r>
      <w:r>
        <w:rPr>
          <w:rFonts w:ascii="Times New Roman" w:hAnsi="Times New Roman"/>
          <w:b/>
          <w:sz w:val="22"/>
          <w:szCs w:val="22"/>
        </w:rPr>
        <w:tab/>
        <w:t xml:space="preserve">       </w:t>
      </w:r>
      <w:r w:rsidRPr="000A7A9F">
        <w:rPr>
          <w:rFonts w:ascii="Times New Roman" w:hAnsi="Times New Roman"/>
          <w:b/>
          <w:sz w:val="22"/>
          <w:szCs w:val="22"/>
        </w:rPr>
        <w:t xml:space="preserve">Contract No: </w:t>
      </w:r>
      <w:r w:rsidRPr="00D94649">
        <w:rPr>
          <w:rFonts w:ascii="Times New Roman" w:hAnsi="Times New Roman"/>
          <w:bCs/>
          <w:snapToGrid/>
          <w:sz w:val="22"/>
          <w:szCs w:val="22"/>
          <w:lang w:val="en-US"/>
        </w:rPr>
        <w:t>002465315202410520028002000001</w:t>
      </w:r>
    </w:p>
    <w:p w:rsidR="00D6111C" w:rsidRPr="00D94649" w:rsidRDefault="00D6111C" w:rsidP="00D6111C">
      <w:pPr>
        <w:spacing w:before="0" w:after="0"/>
        <w:rPr>
          <w:rFonts w:ascii="Times New Roman" w:hAnsi="Times New Roman"/>
          <w:bCs/>
          <w:snapToGrid/>
          <w:sz w:val="22"/>
          <w:szCs w:val="22"/>
          <w:lang w:val="en-US"/>
        </w:rPr>
      </w:pPr>
    </w:p>
    <w:p w:rsidR="00D6111C" w:rsidRPr="003D6B6C" w:rsidRDefault="00D6111C" w:rsidP="00D6111C">
      <w:pPr>
        <w:ind w:left="1134" w:hanging="708"/>
        <w:jc w:val="both"/>
        <w:rPr>
          <w:rFonts w:ascii="Times New Roman" w:hAnsi="Times New Roman"/>
          <w:b/>
          <w:sz w:val="22"/>
          <w:szCs w:val="22"/>
        </w:rPr>
      </w:pPr>
      <w:r>
        <w:rPr>
          <w:rFonts w:ascii="Times New Roman" w:hAnsi="Times New Roman"/>
          <w:sz w:val="22"/>
          <w:szCs w:val="22"/>
        </w:rPr>
        <w:t>29.4</w:t>
      </w:r>
      <w:r>
        <w:rPr>
          <w:rFonts w:ascii="Times New Roman" w:hAnsi="Times New Roman"/>
          <w:sz w:val="22"/>
          <w:szCs w:val="22"/>
        </w:rPr>
        <w:tab/>
      </w:r>
      <w:r w:rsidRPr="0043240C">
        <w:rPr>
          <w:rFonts w:ascii="Times New Roman" w:hAnsi="Times New Roman"/>
          <w:sz w:val="22"/>
        </w:rPr>
        <w:t xml:space="preserve">The place of acceptance of the supplies shall be </w:t>
      </w:r>
      <w:r w:rsidRPr="009062AE">
        <w:rPr>
          <w:rFonts w:ascii="Times New Roman" w:hAnsi="Times New Roman"/>
          <w:sz w:val="22"/>
        </w:rPr>
        <w:t xml:space="preserve">Sector for Coordination, International Cooperation and IACS (DAP) at 70/I and </w:t>
      </w:r>
      <w:r w:rsidR="004E3BD3">
        <w:rPr>
          <w:rFonts w:ascii="Times New Roman" w:hAnsi="Times New Roman"/>
          <w:sz w:val="22"/>
        </w:rPr>
        <w:t xml:space="preserve">III </w:t>
      </w:r>
      <w:proofErr w:type="spellStart"/>
      <w:r w:rsidR="004E3BD3">
        <w:rPr>
          <w:rFonts w:ascii="Times New Roman" w:hAnsi="Times New Roman"/>
          <w:sz w:val="22"/>
        </w:rPr>
        <w:t>Beogradska</w:t>
      </w:r>
      <w:proofErr w:type="spellEnd"/>
      <w:r w:rsidR="004E3BD3">
        <w:rPr>
          <w:rFonts w:ascii="Times New Roman" w:hAnsi="Times New Roman"/>
          <w:sz w:val="22"/>
        </w:rPr>
        <w:t xml:space="preserve"> Street, Belgrade.</w:t>
      </w:r>
    </w:p>
    <w:p w:rsidR="00D6111C" w:rsidRDefault="00D6111C" w:rsidP="00D6111C">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0A7A9F">
        <w:rPr>
          <w:rFonts w:ascii="Times New Roman" w:hAnsi="Times New Roman"/>
          <w:sz w:val="22"/>
          <w:szCs w:val="22"/>
        </w:rPr>
        <w:t xml:space="preserve">The Contractor shall request from the Project Manager, 15 days prior to the delivery to the place of acceptance, permission to proceed with delivery. </w:t>
      </w:r>
    </w:p>
    <w:p w:rsidR="00D6111C" w:rsidRPr="000A7A9F" w:rsidRDefault="00D6111C" w:rsidP="00D6111C">
      <w:pPr>
        <w:spacing w:after="0"/>
        <w:ind w:left="414" w:firstLine="720"/>
        <w:jc w:val="both"/>
        <w:rPr>
          <w:rFonts w:ascii="Times New Roman" w:hAnsi="Times New Roman"/>
          <w:sz w:val="22"/>
        </w:rPr>
      </w:pPr>
      <w:r w:rsidRPr="000A7A9F">
        <w:rPr>
          <w:rFonts w:ascii="Times New Roman" w:hAnsi="Times New Roman"/>
          <w:sz w:val="22"/>
        </w:rPr>
        <w:t>Each delivery shall be accompanied by the following documents:</w:t>
      </w:r>
    </w:p>
    <w:p w:rsidR="00D6111C" w:rsidRPr="000A7A9F" w:rsidRDefault="00D6111C" w:rsidP="00D6111C">
      <w:pPr>
        <w:numPr>
          <w:ilvl w:val="0"/>
          <w:numId w:val="4"/>
        </w:numPr>
        <w:spacing w:before="0" w:after="0"/>
        <w:rPr>
          <w:rFonts w:ascii="Times New Roman" w:hAnsi="Times New Roman"/>
          <w:sz w:val="22"/>
        </w:rPr>
      </w:pPr>
      <w:r w:rsidRPr="000A7A9F">
        <w:rPr>
          <w:rFonts w:ascii="Times New Roman" w:hAnsi="Times New Roman"/>
          <w:sz w:val="22"/>
        </w:rPr>
        <w:lastRenderedPageBreak/>
        <w:t>User/Maintenance Manuals</w:t>
      </w:r>
    </w:p>
    <w:p w:rsidR="00D6111C" w:rsidRPr="000A7A9F" w:rsidRDefault="00D6111C" w:rsidP="00D6111C">
      <w:pPr>
        <w:numPr>
          <w:ilvl w:val="0"/>
          <w:numId w:val="4"/>
        </w:numPr>
        <w:spacing w:before="0"/>
        <w:rPr>
          <w:rFonts w:ascii="Times New Roman" w:hAnsi="Times New Roman"/>
          <w:sz w:val="22"/>
        </w:rPr>
      </w:pPr>
      <w:r w:rsidRPr="000A7A9F">
        <w:rPr>
          <w:rFonts w:ascii="Times New Roman" w:hAnsi="Times New Roman"/>
          <w:sz w:val="22"/>
        </w:rPr>
        <w:t>Packing list</w:t>
      </w:r>
    </w:p>
    <w:p w:rsidR="00D6111C" w:rsidRDefault="00D6111C" w:rsidP="00D6111C">
      <w:pPr>
        <w:numPr>
          <w:ilvl w:val="0"/>
          <w:numId w:val="4"/>
        </w:numPr>
        <w:spacing w:before="0"/>
        <w:rPr>
          <w:rFonts w:ascii="Times New Roman" w:hAnsi="Times New Roman"/>
          <w:sz w:val="22"/>
        </w:rPr>
      </w:pPr>
      <w:r w:rsidRPr="000A7A9F">
        <w:rPr>
          <w:rFonts w:ascii="Times New Roman" w:hAnsi="Times New Roman"/>
          <w:sz w:val="22"/>
        </w:rPr>
        <w:t>Warranty Certificate</w:t>
      </w:r>
    </w:p>
    <w:p w:rsidR="00D6111C" w:rsidRPr="000A7A9F" w:rsidRDefault="00D6111C" w:rsidP="00D6111C">
      <w:pPr>
        <w:numPr>
          <w:ilvl w:val="0"/>
          <w:numId w:val="4"/>
        </w:numPr>
        <w:spacing w:before="0"/>
        <w:rPr>
          <w:rFonts w:ascii="Times New Roman" w:hAnsi="Times New Roman"/>
          <w:sz w:val="22"/>
        </w:rPr>
      </w:pPr>
      <w:r>
        <w:rPr>
          <w:rFonts w:ascii="Times New Roman" w:hAnsi="Times New Roman"/>
          <w:sz w:val="22"/>
        </w:rPr>
        <w:t>Commercial Warranty</w:t>
      </w:r>
    </w:p>
    <w:p w:rsidR="00D6111C" w:rsidRPr="000A7A9F" w:rsidRDefault="00D6111C" w:rsidP="00D6111C">
      <w:pPr>
        <w:numPr>
          <w:ilvl w:val="0"/>
          <w:numId w:val="4"/>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rsidR="00D6111C" w:rsidRDefault="00D6111C" w:rsidP="00D6111C">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rsidR="00D6111C" w:rsidRPr="003D6B6C" w:rsidRDefault="00D6111C" w:rsidP="00D6111C">
      <w:pPr>
        <w:spacing w:before="240"/>
        <w:ind w:left="1134" w:hanging="1134"/>
        <w:jc w:val="both"/>
        <w:rPr>
          <w:rFonts w:ascii="Times New Roman" w:hAnsi="Times New Roman"/>
          <w:b/>
          <w:sz w:val="24"/>
          <w:szCs w:val="24"/>
        </w:rPr>
      </w:pPr>
      <w:bookmarkStart w:id="2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rsidR="00D6111C" w:rsidRDefault="00D6111C" w:rsidP="00D6111C">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rsidR="00D6111C" w:rsidRDefault="00D6111C" w:rsidP="00D6111C">
      <w:pPr>
        <w:spacing w:before="0"/>
        <w:jc w:val="both"/>
        <w:rPr>
          <w:rFonts w:ascii="Times New Roman" w:hAnsi="Times New Roman"/>
          <w:sz w:val="22"/>
          <w:szCs w:val="22"/>
          <w:lang w:val="en-US"/>
        </w:rPr>
      </w:pPr>
      <w:bookmarkStart w:id="23" w:name="_Toc124934915"/>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rsidR="00D6111C" w:rsidRDefault="00D6111C" w:rsidP="00D6111C">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rsidR="00D6111C" w:rsidRDefault="00D6111C" w:rsidP="00D6111C">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rsidR="00D6111C" w:rsidRPr="003D6B6C" w:rsidRDefault="00D6111C" w:rsidP="00D6111C">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Pr="003D6B6C">
        <w:rPr>
          <w:rFonts w:ascii="Times New Roman" w:hAnsi="Times New Roman"/>
          <w:b/>
          <w:sz w:val="24"/>
          <w:szCs w:val="24"/>
        </w:rPr>
        <w:t xml:space="preserve"> obligations</w:t>
      </w:r>
    </w:p>
    <w:p w:rsidR="00D6111C" w:rsidRDefault="00D6111C" w:rsidP="00D6111C">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rsidR="00D6111C" w:rsidRPr="003D6B6C" w:rsidRDefault="00D6111C" w:rsidP="00D6111C">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rsidR="00D6111C" w:rsidRPr="003D6B6C" w:rsidRDefault="00D6111C" w:rsidP="00D6111C">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rsidR="00D6111C" w:rsidRPr="003D6B6C" w:rsidRDefault="00D6111C" w:rsidP="00D6111C">
      <w:pPr>
        <w:spacing w:before="240"/>
        <w:ind w:left="1134" w:hanging="1134"/>
        <w:jc w:val="both"/>
        <w:rPr>
          <w:rFonts w:ascii="Times New Roman" w:hAnsi="Times New Roman"/>
          <w:b/>
          <w:sz w:val="24"/>
          <w:szCs w:val="24"/>
        </w:rPr>
      </w:pPr>
      <w:bookmarkStart w:id="24" w:name="_Toc119839451"/>
      <w:bookmarkStart w:id="25"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rsidR="00D6111C" w:rsidRPr="003D6B6C" w:rsidRDefault="00D6111C" w:rsidP="00D6111C">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Pr>
          <w:rFonts w:ascii="Times New Roman" w:hAnsi="Times New Roman"/>
          <w:sz w:val="22"/>
          <w:szCs w:val="22"/>
        </w:rPr>
        <w:t>No after-sales service is foreseen</w:t>
      </w:r>
    </w:p>
    <w:p w:rsidR="00D6111C" w:rsidRPr="003D6B6C" w:rsidRDefault="00D6111C" w:rsidP="00D6111C">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Pr="003D6B6C">
        <w:rPr>
          <w:rFonts w:ascii="Times New Roman" w:hAnsi="Times New Roman"/>
          <w:b/>
          <w:sz w:val="24"/>
          <w:szCs w:val="24"/>
        </w:rPr>
        <w:tab/>
        <w:t>Settlement of disputes</w:t>
      </w:r>
      <w:bookmarkEnd w:id="26"/>
    </w:p>
    <w:p w:rsidR="004E3BD3" w:rsidRDefault="004E3BD3" w:rsidP="00D6111C">
      <w:pPr>
        <w:keepNext/>
        <w:keepLines/>
        <w:tabs>
          <w:tab w:val="left" w:pos="1134"/>
        </w:tabs>
        <w:spacing w:before="240" w:after="0"/>
        <w:ind w:left="1134" w:hanging="1134"/>
        <w:rPr>
          <w:rFonts w:ascii="Times New Roman" w:hAnsi="Times New Roman"/>
          <w:sz w:val="22"/>
          <w:szCs w:val="22"/>
        </w:rPr>
      </w:pPr>
      <w:r>
        <w:rPr>
          <w:rFonts w:ascii="Times New Roman" w:hAnsi="Times New Roman"/>
          <w:sz w:val="22"/>
          <w:szCs w:val="22"/>
        </w:rPr>
        <w:t xml:space="preserve">         </w:t>
      </w:r>
      <w:r w:rsidRPr="004E3BD3">
        <w:rPr>
          <w:rFonts w:ascii="Times New Roman" w:hAnsi="Times New Roman"/>
          <w:sz w:val="22"/>
          <w:szCs w:val="22"/>
        </w:rPr>
        <w:t>40.4   Any disputes arising out of or relating to this Contract which cannot be settled otherwise shall be referred to the exclusive jurisdiction of the courts of Republic of Serbia in accordance with its the national legislation</w:t>
      </w:r>
      <w:r w:rsidR="0071648D">
        <w:rPr>
          <w:rFonts w:ascii="Times New Roman" w:hAnsi="Times New Roman"/>
          <w:sz w:val="22"/>
          <w:szCs w:val="22"/>
        </w:rPr>
        <w:t>.</w:t>
      </w:r>
    </w:p>
    <w:p w:rsidR="00D6111C" w:rsidRPr="00813017" w:rsidRDefault="00D6111C" w:rsidP="00D6111C">
      <w:pPr>
        <w:keepNext/>
        <w:keepLines/>
        <w:tabs>
          <w:tab w:val="left" w:pos="1134"/>
        </w:tabs>
        <w:spacing w:before="240" w:after="0"/>
        <w:ind w:left="1134" w:hanging="1134"/>
        <w:rPr>
          <w:rFonts w:ascii="Times New Roman" w:hAnsi="Times New Roman"/>
          <w:b/>
          <w:sz w:val="24"/>
          <w:szCs w:val="24"/>
        </w:rPr>
      </w:pPr>
      <w:r w:rsidRPr="00813017">
        <w:rPr>
          <w:rFonts w:ascii="Times New Roman" w:hAnsi="Times New Roman"/>
          <w:b/>
          <w:sz w:val="24"/>
          <w:szCs w:val="24"/>
        </w:rPr>
        <w:t>Article 44</w:t>
      </w:r>
      <w:r w:rsidRPr="00813017">
        <w:rPr>
          <w:rFonts w:ascii="Times New Roman" w:hAnsi="Times New Roman"/>
          <w:b/>
          <w:sz w:val="24"/>
          <w:szCs w:val="24"/>
        </w:rPr>
        <w:tab/>
        <w:t>Data protection</w:t>
      </w:r>
    </w:p>
    <w:p w:rsidR="00D6111C" w:rsidRPr="00466EB9" w:rsidRDefault="00D6111C" w:rsidP="00D6111C">
      <w:pPr>
        <w:jc w:val="both"/>
        <w:rPr>
          <w:rFonts w:ascii="Times New Roman" w:hAnsi="Times New Roman"/>
          <w:sz w:val="22"/>
          <w:szCs w:val="22"/>
          <w:highlight w:val="lightGray"/>
        </w:rPr>
      </w:pPr>
      <w:r w:rsidRPr="00B5440B">
        <w:rPr>
          <w:rFonts w:ascii="Times New Roman" w:hAnsi="Times New Roman"/>
          <w:sz w:val="22"/>
          <w:szCs w:val="22"/>
        </w:rPr>
        <w:t>For the purpose of</w:t>
      </w:r>
      <w:r w:rsidRPr="00A865AA">
        <w:rPr>
          <w:rFonts w:ascii="Times New Roman" w:hAnsi="Times New Roman"/>
          <w:color w:val="0000FF"/>
          <w:sz w:val="22"/>
          <w:szCs w:val="22"/>
        </w:rPr>
        <w:t xml:space="preserve"> </w:t>
      </w:r>
      <w:r w:rsidRPr="00B5440B">
        <w:rPr>
          <w:rFonts w:ascii="Times New Roman" w:hAnsi="Times New Roman"/>
          <w:sz w:val="22"/>
          <w:szCs w:val="22"/>
          <w:lang w:eastAsia="en-GB"/>
        </w:rPr>
        <w:t xml:space="preserve">Article 44 of the </w:t>
      </w:r>
      <w:r w:rsidRPr="00813017">
        <w:rPr>
          <w:rFonts w:ascii="Times New Roman" w:hAnsi="Times New Roman"/>
          <w:sz w:val="22"/>
          <w:szCs w:val="22"/>
        </w:rPr>
        <w:t>general conditions, for the part of the data transferred by the contracting authority to the European Commission:</w:t>
      </w:r>
    </w:p>
    <w:p w:rsidR="00D6111C" w:rsidRPr="00B5440B" w:rsidRDefault="00D6111C" w:rsidP="00D6111C">
      <w:pPr>
        <w:ind w:left="720" w:hanging="450"/>
        <w:jc w:val="both"/>
        <w:rPr>
          <w:rFonts w:ascii="Times New Roman" w:hAnsi="Times New Roman"/>
          <w:sz w:val="22"/>
          <w:szCs w:val="22"/>
        </w:rPr>
      </w:pPr>
      <w:r w:rsidRPr="00E116D1">
        <w:rPr>
          <w:rFonts w:ascii="Times New Roman" w:hAnsi="Times New Roman"/>
          <w:sz w:val="22"/>
          <w:szCs w:val="22"/>
        </w:rPr>
        <w:t>(a)</w:t>
      </w:r>
      <w:r w:rsidRPr="00E116D1">
        <w:rPr>
          <w:rFonts w:ascii="Times New Roman" w:hAnsi="Times New Roman"/>
          <w:sz w:val="22"/>
          <w:szCs w:val="22"/>
        </w:rPr>
        <w:tab/>
        <w:t xml:space="preserve">the controller for the processing of personal data carried out within the Commission is </w:t>
      </w:r>
      <w:r>
        <w:rPr>
          <w:rFonts w:ascii="Times New Roman" w:hAnsi="Times New Roman"/>
          <w:sz w:val="22"/>
          <w:szCs w:val="22"/>
        </w:rPr>
        <w:t xml:space="preserve">the head of contract and finance unit R4 of </w:t>
      </w:r>
      <w:r w:rsidRPr="00E116D1">
        <w:rPr>
          <w:rFonts w:ascii="Times New Roman" w:hAnsi="Times New Roman"/>
          <w:sz w:val="22"/>
          <w:szCs w:val="22"/>
        </w:rPr>
        <w:t xml:space="preserve">DG </w:t>
      </w:r>
      <w:r w:rsidRPr="001D6405">
        <w:rPr>
          <w:rFonts w:ascii="Times New Roman" w:hAnsi="Times New Roman"/>
          <w:sz w:val="22"/>
          <w:szCs w:val="22"/>
        </w:rPr>
        <w:t>ENEST (Directorate-General for Enlargement and Eastern Neighbourhood)</w:t>
      </w:r>
      <w:r>
        <w:rPr>
          <w:rFonts w:ascii="Times New Roman" w:hAnsi="Times New Roman"/>
          <w:sz w:val="22"/>
          <w:szCs w:val="22"/>
        </w:rPr>
        <w:t>.</w:t>
      </w:r>
    </w:p>
    <w:p w:rsidR="00D6111C" w:rsidRPr="0051770F" w:rsidRDefault="00D6111C" w:rsidP="00D6111C">
      <w:pPr>
        <w:spacing w:before="100" w:beforeAutospacing="1" w:after="100" w:afterAutospacing="1"/>
        <w:ind w:left="709" w:hanging="425"/>
        <w:rPr>
          <w:rFonts w:ascii="Times New Roman" w:hAnsi="Times New Roman"/>
          <w:color w:val="0563C1"/>
          <w:sz w:val="22"/>
          <w:szCs w:val="22"/>
          <w:u w:val="single"/>
          <w:lang w:val="sv-SE"/>
        </w:rPr>
      </w:pPr>
      <w:r w:rsidRPr="00B5440B">
        <w:rPr>
          <w:rFonts w:ascii="Times New Roman" w:hAnsi="Times New Roman"/>
          <w:sz w:val="22"/>
          <w:szCs w:val="22"/>
        </w:rPr>
        <w:lastRenderedPageBreak/>
        <w:t>(b)</w:t>
      </w:r>
      <w:r w:rsidRPr="00B5440B">
        <w:rPr>
          <w:rFonts w:ascii="Times New Roman" w:hAnsi="Times New Roman"/>
          <w:sz w:val="22"/>
          <w:szCs w:val="22"/>
        </w:rPr>
        <w:tab/>
      </w:r>
      <w:r w:rsidRPr="00B5440B">
        <w:rPr>
          <w:rFonts w:ascii="Times New Roman" w:hAnsi="Times New Roman"/>
          <w:sz w:val="22"/>
          <w:szCs w:val="22"/>
          <w:lang w:eastAsia="en-GB"/>
        </w:rPr>
        <w:t xml:space="preserve">the </w:t>
      </w:r>
      <w:r w:rsidRPr="00830347">
        <w:rPr>
          <w:rFonts w:ascii="Times New Roman" w:hAnsi="Times New Roman"/>
          <w:sz w:val="22"/>
          <w:szCs w:val="22"/>
          <w:lang w:eastAsia="en-GB"/>
        </w:rPr>
        <w:t>privacy statement</w:t>
      </w:r>
      <w:r>
        <w:rPr>
          <w:rFonts w:ascii="Times New Roman" w:hAnsi="Times New Roman"/>
          <w:sz w:val="22"/>
          <w:szCs w:val="22"/>
          <w:lang w:eastAsia="en-GB"/>
        </w:rPr>
        <w:t xml:space="preserve"> </w:t>
      </w:r>
      <w:r w:rsidRPr="00B5440B">
        <w:rPr>
          <w:rFonts w:ascii="Times New Roman" w:hAnsi="Times New Roman"/>
          <w:sz w:val="22"/>
          <w:szCs w:val="22"/>
          <w:lang w:eastAsia="en-GB"/>
        </w:rPr>
        <w:t>is available at</w:t>
      </w:r>
      <w:r w:rsidRPr="00C05EBE">
        <w:rPr>
          <w:rFonts w:ascii="Times New Roman" w:hAnsi="Times New Roman"/>
          <w:sz w:val="22"/>
          <w:szCs w:val="22"/>
          <w:lang w:val="sv-SE"/>
        </w:rPr>
        <w:t xml:space="preserve"> </w:t>
      </w:r>
      <w:hyperlink r:id="rId10" w:anchor="Annexes-AnnexesA(Ch.2):General" w:history="1">
        <w:r w:rsidRPr="00C05EBE">
          <w:rPr>
            <w:rFonts w:ascii="Times New Roman" w:hAnsi="Times New Roman"/>
            <w:color w:val="0000FF"/>
            <w:sz w:val="22"/>
            <w:szCs w:val="22"/>
            <w:u w:val="single"/>
            <w:lang w:val="sv-SE"/>
          </w:rPr>
          <w:t>https://wikis.ec.europa.eu/display/ExactExternalWiki/Annexes#Annexes-AnnexesA(Ch.2):General</w:t>
        </w:r>
      </w:hyperlink>
      <w:r>
        <w:rPr>
          <w:rFonts w:ascii="Times New Roman" w:hAnsi="Times New Roman"/>
          <w:color w:val="0000FF"/>
          <w:sz w:val="22"/>
          <w:szCs w:val="22"/>
          <w:u w:val="single"/>
          <w:lang w:val="sv-SE"/>
        </w:rPr>
        <w:t>]</w:t>
      </w:r>
    </w:p>
    <w:p w:rsidR="00D6111C" w:rsidRPr="00E116D1" w:rsidRDefault="00D6111C" w:rsidP="00D6111C">
      <w:pPr>
        <w:ind w:left="540" w:hanging="540"/>
        <w:jc w:val="both"/>
        <w:rPr>
          <w:rFonts w:ascii="Times New Roman" w:hAnsi="Times New Roman"/>
          <w:sz w:val="22"/>
          <w:szCs w:val="22"/>
        </w:rPr>
      </w:pPr>
      <w:r w:rsidRPr="00E116D1">
        <w:rPr>
          <w:rFonts w:ascii="Times New Roman" w:hAnsi="Times New Roman"/>
          <w:sz w:val="22"/>
          <w:szCs w:val="22"/>
        </w:rPr>
        <w:t>1.</w:t>
      </w:r>
      <w:r w:rsidRPr="00E116D1">
        <w:rPr>
          <w:rFonts w:ascii="Times New Roman" w:hAnsi="Times New Roman"/>
          <w:sz w:val="22"/>
          <w:szCs w:val="22"/>
        </w:rPr>
        <w:tab/>
        <w:t>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D6111C" w:rsidRPr="00F4288C" w:rsidRDefault="00D6111C" w:rsidP="00D6111C">
      <w:pPr>
        <w:ind w:left="567" w:hanging="567"/>
        <w:jc w:val="both"/>
        <w:rPr>
          <w:rFonts w:ascii="Times New Roman" w:hAnsi="Times New Roman"/>
          <w:sz w:val="22"/>
          <w:szCs w:val="22"/>
          <w:u w:val="single"/>
        </w:rPr>
      </w:pPr>
      <w:r w:rsidRPr="00E116D1">
        <w:rPr>
          <w:rFonts w:ascii="Times New Roman" w:hAnsi="Times New Roman"/>
          <w:sz w:val="22"/>
          <w:szCs w:val="22"/>
        </w:rPr>
        <w:t>2.</w:t>
      </w:r>
      <w:r w:rsidRPr="00E116D1">
        <w:rPr>
          <w:rFonts w:ascii="Times New Roman" w:hAnsi="Times New Roman"/>
          <w:sz w:val="22"/>
          <w:szCs w:val="22"/>
        </w:rPr>
        <w:tab/>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E116D1">
        <w:rPr>
          <w:rStyle w:val="FootnoteReference"/>
          <w:sz w:val="22"/>
          <w:szCs w:val="22"/>
        </w:rPr>
        <w:footnoteReference w:id="2"/>
      </w:r>
      <w:r w:rsidRPr="00E116D1">
        <w:rPr>
          <w:rFonts w:ascii="Times New Roman" w:hAnsi="Times New Roman"/>
          <w:sz w:val="22"/>
          <w:szCs w:val="22"/>
        </w:rPr>
        <w:t xml:space="preserve"> and as detailed in the specific privacy statement published at </w:t>
      </w:r>
      <w:proofErr w:type="spellStart"/>
      <w:r w:rsidRPr="00E116D1">
        <w:rPr>
          <w:rFonts w:ascii="Times New Roman" w:hAnsi="Times New Roman"/>
          <w:sz w:val="22"/>
          <w:szCs w:val="22"/>
        </w:rPr>
        <w:t>ePRAG</w:t>
      </w:r>
      <w:proofErr w:type="spellEnd"/>
      <w:r w:rsidRPr="00E116D1">
        <w:rPr>
          <w:rFonts w:ascii="Times New Roman" w:hAnsi="Times New Roman"/>
          <w:sz w:val="22"/>
          <w:szCs w:val="22"/>
        </w:rPr>
        <w:t>.</w:t>
      </w:r>
    </w:p>
    <w:p w:rsidR="00D6111C" w:rsidRDefault="00D6111C" w:rsidP="00D6111C">
      <w:pPr>
        <w:pStyle w:val="ListNumber"/>
        <w:numPr>
          <w:ilvl w:val="0"/>
          <w:numId w:val="0"/>
        </w:numPr>
        <w:spacing w:before="240"/>
        <w:ind w:left="1134" w:hanging="1134"/>
        <w:rPr>
          <w:b/>
          <w:szCs w:val="24"/>
        </w:rPr>
      </w:pPr>
      <w:r w:rsidRPr="00E116D1">
        <w:rPr>
          <w:b/>
          <w:szCs w:val="24"/>
        </w:rPr>
        <w:t>Article 45</w:t>
      </w:r>
      <w:r w:rsidRPr="00E116D1">
        <w:rPr>
          <w:b/>
          <w:szCs w:val="24"/>
        </w:rPr>
        <w:tab/>
        <w:t>Further additional clauses</w:t>
      </w:r>
    </w:p>
    <w:p w:rsidR="00D6111C" w:rsidRDefault="00D6111C" w:rsidP="00D6111C">
      <w:pPr>
        <w:pStyle w:val="ListNumber"/>
        <w:numPr>
          <w:ilvl w:val="0"/>
          <w:numId w:val="0"/>
        </w:numPr>
        <w:rPr>
          <w:sz w:val="22"/>
          <w:szCs w:val="22"/>
        </w:rPr>
      </w:pPr>
      <w:r>
        <w:rPr>
          <w:sz w:val="22"/>
          <w:szCs w:val="22"/>
        </w:rPr>
        <w:t>N/A</w:t>
      </w:r>
    </w:p>
    <w:p w:rsidR="00D6111C" w:rsidRPr="003D6B6C" w:rsidRDefault="00D6111C" w:rsidP="00D6111C">
      <w:pPr>
        <w:pStyle w:val="ListNumber"/>
        <w:numPr>
          <w:ilvl w:val="0"/>
          <w:numId w:val="0"/>
        </w:numPr>
        <w:spacing w:before="360" w:after="100" w:afterAutospacing="1"/>
        <w:ind w:left="1984" w:hanging="425"/>
        <w:jc w:val="center"/>
        <w:rPr>
          <w:sz w:val="22"/>
          <w:szCs w:val="22"/>
        </w:rPr>
      </w:pPr>
      <w:r w:rsidRPr="003D6B6C">
        <w:rPr>
          <w:sz w:val="22"/>
          <w:szCs w:val="22"/>
        </w:rPr>
        <w:t>* * *</w:t>
      </w:r>
    </w:p>
    <w:p w:rsidR="00894F45" w:rsidRDefault="00894F45"/>
    <w:sectPr w:rsidR="00894F45" w:rsidSect="00B34E93">
      <w:footerReference w:type="even" r:id="rId11"/>
      <w:footerReference w:type="default" r:id="rId12"/>
      <w:footerReference w:type="first" r:id="rId13"/>
      <w:footnotePr>
        <w:numRestart w:val="eachPage"/>
      </w:footnotePr>
      <w:pgSz w:w="11906" w:h="16838"/>
      <w:pgMar w:top="117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FBA" w:rsidRDefault="00B14FBA" w:rsidP="00D6111C">
      <w:pPr>
        <w:spacing w:before="0" w:after="0"/>
      </w:pPr>
      <w:r>
        <w:separator/>
      </w:r>
    </w:p>
  </w:endnote>
  <w:endnote w:type="continuationSeparator" w:id="0">
    <w:p w:rsidR="00B14FBA" w:rsidRDefault="00B14FBA" w:rsidP="00D611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535D6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B14FB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FE689C" w:rsidRDefault="00535D66"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2025</w:t>
    </w: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623465">
      <w:rPr>
        <w:rStyle w:val="PageNumber"/>
        <w:rFonts w:ascii="Times New Roman" w:hAnsi="Times New Roman"/>
        <w:noProof/>
        <w:sz w:val="18"/>
        <w:szCs w:val="18"/>
        <w:lang w:val="en-GB"/>
      </w:rPr>
      <w:t>8</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623465">
      <w:rPr>
        <w:rStyle w:val="PageNumber"/>
        <w:rFonts w:ascii="Times New Roman" w:hAnsi="Times New Roman"/>
        <w:noProof/>
        <w:sz w:val="18"/>
        <w:szCs w:val="18"/>
        <w:lang w:val="en-GB"/>
      </w:rPr>
      <w:t>8</w:t>
    </w:r>
    <w:r w:rsidRPr="009423FB">
      <w:rPr>
        <w:rStyle w:val="PageNumber"/>
        <w:rFonts w:ascii="Times New Roman" w:hAnsi="Times New Roman"/>
        <w:sz w:val="18"/>
        <w:szCs w:val="18"/>
      </w:rPr>
      <w:fldChar w:fldCharType="end"/>
    </w:r>
  </w:p>
  <w:p w:rsidR="00117ADA" w:rsidRPr="007E36E3" w:rsidRDefault="00535D66"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535D66"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535D6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FBA" w:rsidRDefault="00B14FBA" w:rsidP="00D6111C">
      <w:pPr>
        <w:spacing w:before="0" w:after="0"/>
      </w:pPr>
      <w:r>
        <w:separator/>
      </w:r>
    </w:p>
  </w:footnote>
  <w:footnote w:type="continuationSeparator" w:id="0">
    <w:p w:rsidR="00B14FBA" w:rsidRDefault="00B14FBA" w:rsidP="00D6111C">
      <w:pPr>
        <w:spacing w:before="0" w:after="0"/>
      </w:pPr>
      <w:r>
        <w:continuationSeparator/>
      </w:r>
    </w:p>
  </w:footnote>
  <w:footnote w:id="1">
    <w:p w:rsidR="00D6111C" w:rsidRPr="00B5440B" w:rsidRDefault="00D6111C" w:rsidP="00D6111C">
      <w:pPr>
        <w:pStyle w:val="FootnoteText"/>
        <w:rPr>
          <w:lang w:val="en-IE"/>
        </w:rPr>
      </w:pPr>
      <w:r w:rsidRPr="00813017">
        <w:rPr>
          <w:rStyle w:val="FootnoteReference"/>
        </w:rPr>
        <w:footnoteRef/>
      </w:r>
      <w:r w:rsidRPr="00813017">
        <w:rPr>
          <w:lang w:val="en-IE"/>
        </w:rPr>
        <w:tab/>
        <w:t>DDP (Delivered Duty Paid)&gt;/&lt;DAP (Delivered At Place)</w:t>
      </w:r>
      <w:r w:rsidRPr="00B5440B">
        <w:rPr>
          <w:sz w:val="22"/>
          <w:szCs w:val="22"/>
          <w:lang w:val="en-IE"/>
        </w:rPr>
        <w:t xml:space="preserve"> </w:t>
      </w:r>
      <w:r w:rsidRPr="00B5440B">
        <w:rPr>
          <w:lang w:val="en-IE"/>
        </w:rPr>
        <w:t xml:space="preserve">- Incoterms 2020 International Chamber of Commerce - </w:t>
      </w:r>
      <w:hyperlink r:id="rId1" w:history="1">
        <w:r w:rsidRPr="001E08E3">
          <w:rPr>
            <w:rStyle w:val="Hyperlink"/>
            <w:lang w:val="en-GB"/>
          </w:rPr>
          <w:t>http://www.iccwbo.org/incoterms/</w:t>
        </w:r>
      </w:hyperlink>
    </w:p>
  </w:footnote>
  <w:footnote w:id="2">
    <w:p w:rsidR="00D6111C" w:rsidRDefault="00D6111C" w:rsidP="00D6111C">
      <w:pPr>
        <w:pStyle w:val="FootnoteText"/>
      </w:pPr>
      <w:r>
        <w:rPr>
          <w:rStyle w:val="FootnoteReference"/>
        </w:rPr>
        <w:footnoteRef/>
      </w:r>
      <w:r>
        <w:tab/>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11C"/>
    <w:rsid w:val="000029E7"/>
    <w:rsid w:val="000049A1"/>
    <w:rsid w:val="0000678C"/>
    <w:rsid w:val="00011378"/>
    <w:rsid w:val="0002144F"/>
    <w:rsid w:val="00021A5B"/>
    <w:rsid w:val="0004295A"/>
    <w:rsid w:val="00044DE3"/>
    <w:rsid w:val="0004567C"/>
    <w:rsid w:val="00046ADE"/>
    <w:rsid w:val="00060564"/>
    <w:rsid w:val="00073A52"/>
    <w:rsid w:val="00080BA8"/>
    <w:rsid w:val="00084EE4"/>
    <w:rsid w:val="000A1170"/>
    <w:rsid w:val="000A7C44"/>
    <w:rsid w:val="000A7E6C"/>
    <w:rsid w:val="000D2245"/>
    <w:rsid w:val="000D37B6"/>
    <w:rsid w:val="00104199"/>
    <w:rsid w:val="00111652"/>
    <w:rsid w:val="001476A2"/>
    <w:rsid w:val="001509A1"/>
    <w:rsid w:val="00150CBD"/>
    <w:rsid w:val="001615A0"/>
    <w:rsid w:val="00175A34"/>
    <w:rsid w:val="00176188"/>
    <w:rsid w:val="00177519"/>
    <w:rsid w:val="0018249F"/>
    <w:rsid w:val="00182CAC"/>
    <w:rsid w:val="001923FB"/>
    <w:rsid w:val="00194304"/>
    <w:rsid w:val="001943BD"/>
    <w:rsid w:val="001B1A05"/>
    <w:rsid w:val="001B7963"/>
    <w:rsid w:val="001D3E2F"/>
    <w:rsid w:val="001E7C5A"/>
    <w:rsid w:val="00200E66"/>
    <w:rsid w:val="00213C95"/>
    <w:rsid w:val="00213F47"/>
    <w:rsid w:val="00214F86"/>
    <w:rsid w:val="00223B78"/>
    <w:rsid w:val="00227EEE"/>
    <w:rsid w:val="00233E75"/>
    <w:rsid w:val="00234D7C"/>
    <w:rsid w:val="00242399"/>
    <w:rsid w:val="002511CC"/>
    <w:rsid w:val="00260C47"/>
    <w:rsid w:val="0026548E"/>
    <w:rsid w:val="00265A9A"/>
    <w:rsid w:val="002677B4"/>
    <w:rsid w:val="00274414"/>
    <w:rsid w:val="00283017"/>
    <w:rsid w:val="00297762"/>
    <w:rsid w:val="00297E39"/>
    <w:rsid w:val="002A25D7"/>
    <w:rsid w:val="002A2A9C"/>
    <w:rsid w:val="002A56DC"/>
    <w:rsid w:val="002C4CC0"/>
    <w:rsid w:val="002D166A"/>
    <w:rsid w:val="002E27BC"/>
    <w:rsid w:val="002F37F5"/>
    <w:rsid w:val="003009F0"/>
    <w:rsid w:val="00321CD9"/>
    <w:rsid w:val="003225B8"/>
    <w:rsid w:val="0033057C"/>
    <w:rsid w:val="003356DF"/>
    <w:rsid w:val="00365AFE"/>
    <w:rsid w:val="003821B7"/>
    <w:rsid w:val="003828D3"/>
    <w:rsid w:val="00397271"/>
    <w:rsid w:val="003A1D6B"/>
    <w:rsid w:val="003B1841"/>
    <w:rsid w:val="003E33C6"/>
    <w:rsid w:val="003E47B3"/>
    <w:rsid w:val="003E509B"/>
    <w:rsid w:val="003F0159"/>
    <w:rsid w:val="00415B9B"/>
    <w:rsid w:val="0041793C"/>
    <w:rsid w:val="0043684D"/>
    <w:rsid w:val="00437107"/>
    <w:rsid w:val="0044017A"/>
    <w:rsid w:val="00443114"/>
    <w:rsid w:val="00446E9D"/>
    <w:rsid w:val="00463932"/>
    <w:rsid w:val="0046571A"/>
    <w:rsid w:val="00471B2C"/>
    <w:rsid w:val="00474A23"/>
    <w:rsid w:val="00485CBE"/>
    <w:rsid w:val="00490423"/>
    <w:rsid w:val="004A1DCB"/>
    <w:rsid w:val="004A66FE"/>
    <w:rsid w:val="004B03C5"/>
    <w:rsid w:val="004B4DB4"/>
    <w:rsid w:val="004D2037"/>
    <w:rsid w:val="004D3EEE"/>
    <w:rsid w:val="004E3BD3"/>
    <w:rsid w:val="004F39C0"/>
    <w:rsid w:val="00506DEE"/>
    <w:rsid w:val="00535D66"/>
    <w:rsid w:val="00545AC8"/>
    <w:rsid w:val="0056376B"/>
    <w:rsid w:val="005669B3"/>
    <w:rsid w:val="00570859"/>
    <w:rsid w:val="00572EA8"/>
    <w:rsid w:val="00576115"/>
    <w:rsid w:val="00577EE2"/>
    <w:rsid w:val="005862C6"/>
    <w:rsid w:val="00592718"/>
    <w:rsid w:val="005A55CB"/>
    <w:rsid w:val="005A6675"/>
    <w:rsid w:val="005C5234"/>
    <w:rsid w:val="005D0B6E"/>
    <w:rsid w:val="005E4274"/>
    <w:rsid w:val="005E4278"/>
    <w:rsid w:val="005F1DB3"/>
    <w:rsid w:val="006127C2"/>
    <w:rsid w:val="00612B0E"/>
    <w:rsid w:val="00620258"/>
    <w:rsid w:val="00623465"/>
    <w:rsid w:val="00624814"/>
    <w:rsid w:val="0062640B"/>
    <w:rsid w:val="0066453A"/>
    <w:rsid w:val="0066513A"/>
    <w:rsid w:val="00676029"/>
    <w:rsid w:val="00683A61"/>
    <w:rsid w:val="0069164A"/>
    <w:rsid w:val="00693CFB"/>
    <w:rsid w:val="006B077D"/>
    <w:rsid w:val="006B2EB9"/>
    <w:rsid w:val="006C4920"/>
    <w:rsid w:val="006D12F1"/>
    <w:rsid w:val="006D3401"/>
    <w:rsid w:val="006D6201"/>
    <w:rsid w:val="006E2F30"/>
    <w:rsid w:val="007035B3"/>
    <w:rsid w:val="00711F8E"/>
    <w:rsid w:val="0071458A"/>
    <w:rsid w:val="0071585A"/>
    <w:rsid w:val="0071648D"/>
    <w:rsid w:val="00724FF9"/>
    <w:rsid w:val="00730FF8"/>
    <w:rsid w:val="007455AD"/>
    <w:rsid w:val="0075656A"/>
    <w:rsid w:val="00757366"/>
    <w:rsid w:val="007747E4"/>
    <w:rsid w:val="00774DD1"/>
    <w:rsid w:val="0079219C"/>
    <w:rsid w:val="007B558E"/>
    <w:rsid w:val="007B7869"/>
    <w:rsid w:val="007C518A"/>
    <w:rsid w:val="007C7BF1"/>
    <w:rsid w:val="007D6FC9"/>
    <w:rsid w:val="007D72B7"/>
    <w:rsid w:val="007E554B"/>
    <w:rsid w:val="007E5777"/>
    <w:rsid w:val="007E73E1"/>
    <w:rsid w:val="007F52D9"/>
    <w:rsid w:val="0080201E"/>
    <w:rsid w:val="0080538D"/>
    <w:rsid w:val="00807953"/>
    <w:rsid w:val="00812D95"/>
    <w:rsid w:val="00825C00"/>
    <w:rsid w:val="0083467C"/>
    <w:rsid w:val="0083568D"/>
    <w:rsid w:val="00840228"/>
    <w:rsid w:val="00840B7B"/>
    <w:rsid w:val="00840CAA"/>
    <w:rsid w:val="00852549"/>
    <w:rsid w:val="0086728E"/>
    <w:rsid w:val="00871ED1"/>
    <w:rsid w:val="0087376B"/>
    <w:rsid w:val="00885035"/>
    <w:rsid w:val="00894F45"/>
    <w:rsid w:val="008A1425"/>
    <w:rsid w:val="008A4AB9"/>
    <w:rsid w:val="008C056B"/>
    <w:rsid w:val="008F5D47"/>
    <w:rsid w:val="009142AD"/>
    <w:rsid w:val="009154AA"/>
    <w:rsid w:val="00923295"/>
    <w:rsid w:val="00924712"/>
    <w:rsid w:val="00964E8F"/>
    <w:rsid w:val="00982358"/>
    <w:rsid w:val="0099640F"/>
    <w:rsid w:val="009A0B23"/>
    <w:rsid w:val="009A322E"/>
    <w:rsid w:val="009D241F"/>
    <w:rsid w:val="009E27B9"/>
    <w:rsid w:val="009E4467"/>
    <w:rsid w:val="009F0A08"/>
    <w:rsid w:val="00A01873"/>
    <w:rsid w:val="00A07828"/>
    <w:rsid w:val="00A16D64"/>
    <w:rsid w:val="00A17FC7"/>
    <w:rsid w:val="00A21BDC"/>
    <w:rsid w:val="00A31804"/>
    <w:rsid w:val="00A34380"/>
    <w:rsid w:val="00A34ACC"/>
    <w:rsid w:val="00A463E7"/>
    <w:rsid w:val="00A52669"/>
    <w:rsid w:val="00A577A8"/>
    <w:rsid w:val="00A57E22"/>
    <w:rsid w:val="00A63835"/>
    <w:rsid w:val="00A73257"/>
    <w:rsid w:val="00A85C95"/>
    <w:rsid w:val="00A91E5A"/>
    <w:rsid w:val="00AA3F7B"/>
    <w:rsid w:val="00AB66DC"/>
    <w:rsid w:val="00AB6A17"/>
    <w:rsid w:val="00AC0D07"/>
    <w:rsid w:val="00AD1940"/>
    <w:rsid w:val="00AD2765"/>
    <w:rsid w:val="00AD6B4C"/>
    <w:rsid w:val="00AF45D6"/>
    <w:rsid w:val="00AF553C"/>
    <w:rsid w:val="00B00310"/>
    <w:rsid w:val="00B0641E"/>
    <w:rsid w:val="00B14FBA"/>
    <w:rsid w:val="00B22801"/>
    <w:rsid w:val="00B24D94"/>
    <w:rsid w:val="00B262F6"/>
    <w:rsid w:val="00B61B31"/>
    <w:rsid w:val="00B774F3"/>
    <w:rsid w:val="00B839E2"/>
    <w:rsid w:val="00B90C6C"/>
    <w:rsid w:val="00B975A8"/>
    <w:rsid w:val="00BC095E"/>
    <w:rsid w:val="00BD1D64"/>
    <w:rsid w:val="00BD5FD5"/>
    <w:rsid w:val="00BD6CCA"/>
    <w:rsid w:val="00BD743D"/>
    <w:rsid w:val="00BF4A4A"/>
    <w:rsid w:val="00C035BB"/>
    <w:rsid w:val="00C252F3"/>
    <w:rsid w:val="00C26890"/>
    <w:rsid w:val="00C27DA4"/>
    <w:rsid w:val="00C302BC"/>
    <w:rsid w:val="00C500EC"/>
    <w:rsid w:val="00C506E4"/>
    <w:rsid w:val="00C5424C"/>
    <w:rsid w:val="00C55589"/>
    <w:rsid w:val="00C61007"/>
    <w:rsid w:val="00C63D3B"/>
    <w:rsid w:val="00C64311"/>
    <w:rsid w:val="00C839CA"/>
    <w:rsid w:val="00C93F2F"/>
    <w:rsid w:val="00CB57DE"/>
    <w:rsid w:val="00CD6565"/>
    <w:rsid w:val="00CE0600"/>
    <w:rsid w:val="00CF24F6"/>
    <w:rsid w:val="00CF5F4B"/>
    <w:rsid w:val="00D01526"/>
    <w:rsid w:val="00D06658"/>
    <w:rsid w:val="00D17DA2"/>
    <w:rsid w:val="00D23AC8"/>
    <w:rsid w:val="00D346DB"/>
    <w:rsid w:val="00D37646"/>
    <w:rsid w:val="00D5196D"/>
    <w:rsid w:val="00D5525B"/>
    <w:rsid w:val="00D6111C"/>
    <w:rsid w:val="00D6378B"/>
    <w:rsid w:val="00D754CD"/>
    <w:rsid w:val="00D90515"/>
    <w:rsid w:val="00DA5A30"/>
    <w:rsid w:val="00DA6C6D"/>
    <w:rsid w:val="00DB0ECF"/>
    <w:rsid w:val="00DB3C9C"/>
    <w:rsid w:val="00DB7031"/>
    <w:rsid w:val="00DC5CED"/>
    <w:rsid w:val="00DD02C9"/>
    <w:rsid w:val="00DD53F1"/>
    <w:rsid w:val="00DE65B1"/>
    <w:rsid w:val="00DE7F7C"/>
    <w:rsid w:val="00DF065C"/>
    <w:rsid w:val="00E01C5E"/>
    <w:rsid w:val="00E225F3"/>
    <w:rsid w:val="00E23983"/>
    <w:rsid w:val="00E2739C"/>
    <w:rsid w:val="00E30C2E"/>
    <w:rsid w:val="00E35001"/>
    <w:rsid w:val="00E519F7"/>
    <w:rsid w:val="00E56625"/>
    <w:rsid w:val="00E67F01"/>
    <w:rsid w:val="00E7186C"/>
    <w:rsid w:val="00E821F8"/>
    <w:rsid w:val="00E90252"/>
    <w:rsid w:val="00EA0D49"/>
    <w:rsid w:val="00EB5B80"/>
    <w:rsid w:val="00EC75D0"/>
    <w:rsid w:val="00EE6CB5"/>
    <w:rsid w:val="00EF1DCC"/>
    <w:rsid w:val="00F0590A"/>
    <w:rsid w:val="00F20857"/>
    <w:rsid w:val="00F341DF"/>
    <w:rsid w:val="00F51AE8"/>
    <w:rsid w:val="00F53983"/>
    <w:rsid w:val="00F676D7"/>
    <w:rsid w:val="00F81FF8"/>
    <w:rsid w:val="00F9301E"/>
    <w:rsid w:val="00F96F71"/>
    <w:rsid w:val="00FA6468"/>
    <w:rsid w:val="00FC012D"/>
    <w:rsid w:val="00FD5268"/>
    <w:rsid w:val="00FE7F2A"/>
    <w:rsid w:val="00FF5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69FEC"/>
  <w15:chartTrackingRefBased/>
  <w15:docId w15:val="{160DBA16-0591-47FA-A49A-78C0735DF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11C"/>
    <w:pPr>
      <w:spacing w:before="120" w:after="120" w:line="240" w:lineRule="auto"/>
    </w:pPr>
    <w:rPr>
      <w:rFonts w:ascii="Arial" w:eastAsia="Times New Roman" w:hAnsi="Arial" w:cs="Times New Roman"/>
      <w:snapToGrid w:val="0"/>
      <w:sz w:val="20"/>
      <w:szCs w:val="20"/>
      <w:lang w:val="en-GB"/>
    </w:rPr>
  </w:style>
  <w:style w:type="paragraph" w:styleId="Heading1">
    <w:name w:val="heading 1"/>
    <w:basedOn w:val="Normal"/>
    <w:next w:val="Normal"/>
    <w:link w:val="Heading1Char1"/>
    <w:qFormat/>
    <w:rsid w:val="00D6111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D6111C"/>
    <w:pPr>
      <w:keepNext/>
      <w:outlineLvl w:val="1"/>
    </w:pPr>
    <w:rPr>
      <w:lang w:val="fr-BE"/>
    </w:rPr>
  </w:style>
  <w:style w:type="paragraph" w:styleId="Heading4">
    <w:name w:val="heading 4"/>
    <w:basedOn w:val="Normal"/>
    <w:next w:val="Normal"/>
    <w:link w:val="Heading4Char"/>
    <w:qFormat/>
    <w:rsid w:val="00D6111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D6111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D6111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D6111C"/>
    <w:pPr>
      <w:numPr>
        <w:ilvl w:val="6"/>
        <w:numId w:val="2"/>
      </w:numPr>
      <w:spacing w:before="240" w:after="60"/>
      <w:outlineLvl w:val="6"/>
    </w:pPr>
    <w:rPr>
      <w:lang w:val="sv-SE"/>
    </w:rPr>
  </w:style>
  <w:style w:type="paragraph" w:styleId="Heading8">
    <w:name w:val="heading 8"/>
    <w:basedOn w:val="Normal"/>
    <w:next w:val="Normal"/>
    <w:link w:val="Heading8Char"/>
    <w:qFormat/>
    <w:rsid w:val="00D6111C"/>
    <w:pPr>
      <w:numPr>
        <w:ilvl w:val="7"/>
        <w:numId w:val="2"/>
      </w:numPr>
      <w:spacing w:before="240" w:after="60"/>
      <w:outlineLvl w:val="7"/>
    </w:pPr>
    <w:rPr>
      <w:i/>
      <w:lang w:val="sv-SE"/>
    </w:rPr>
  </w:style>
  <w:style w:type="paragraph" w:styleId="Heading9">
    <w:name w:val="heading 9"/>
    <w:basedOn w:val="Normal"/>
    <w:next w:val="Normal"/>
    <w:link w:val="Heading9Char"/>
    <w:qFormat/>
    <w:rsid w:val="00D6111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D6111C"/>
    <w:rPr>
      <w:rFonts w:asciiTheme="majorHAnsi" w:eastAsiaTheme="majorEastAsia" w:hAnsiTheme="majorHAnsi" w:cstheme="majorBidi"/>
      <w:snapToGrid w:val="0"/>
      <w:color w:val="2E74B5" w:themeColor="accent1" w:themeShade="BF"/>
      <w:sz w:val="32"/>
      <w:szCs w:val="32"/>
      <w:lang w:val="en-GB"/>
    </w:rPr>
  </w:style>
  <w:style w:type="character" w:customStyle="1" w:styleId="Heading2Char">
    <w:name w:val="Heading 2 Char"/>
    <w:basedOn w:val="DefaultParagraphFont"/>
    <w:link w:val="Heading2"/>
    <w:rsid w:val="00D6111C"/>
    <w:rPr>
      <w:rFonts w:ascii="Arial" w:eastAsia="Times New Roman" w:hAnsi="Arial" w:cs="Times New Roman"/>
      <w:snapToGrid w:val="0"/>
      <w:sz w:val="20"/>
      <w:szCs w:val="20"/>
      <w:lang w:val="fr-BE"/>
    </w:rPr>
  </w:style>
  <w:style w:type="character" w:customStyle="1" w:styleId="Heading4Char">
    <w:name w:val="Heading 4 Char"/>
    <w:basedOn w:val="DefaultParagraphFont"/>
    <w:link w:val="Heading4"/>
    <w:rsid w:val="00D6111C"/>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D6111C"/>
    <w:rPr>
      <w:rFonts w:ascii="Arial" w:eastAsia="Times New Roman" w:hAnsi="Arial" w:cs="Times New Roman"/>
      <w:snapToGrid w:val="0"/>
      <w:szCs w:val="20"/>
      <w:lang w:val="sv-SE"/>
    </w:rPr>
  </w:style>
  <w:style w:type="character" w:customStyle="1" w:styleId="Heading6Char">
    <w:name w:val="Heading 6 Char"/>
    <w:basedOn w:val="DefaultParagraphFont"/>
    <w:link w:val="Heading6"/>
    <w:rsid w:val="00D6111C"/>
    <w:rPr>
      <w:rFonts w:ascii="Arial" w:eastAsia="Times New Roman" w:hAnsi="Arial" w:cs="Times New Roman"/>
      <w:i/>
      <w:snapToGrid w:val="0"/>
      <w:szCs w:val="20"/>
      <w:lang w:val="sv-SE"/>
    </w:rPr>
  </w:style>
  <w:style w:type="character" w:customStyle="1" w:styleId="Heading7Char">
    <w:name w:val="Heading 7 Char"/>
    <w:basedOn w:val="DefaultParagraphFont"/>
    <w:link w:val="Heading7"/>
    <w:rsid w:val="00D6111C"/>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D6111C"/>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D6111C"/>
    <w:rPr>
      <w:rFonts w:ascii="Arial" w:eastAsia="Times New Roman" w:hAnsi="Arial" w:cs="Times New Roman"/>
      <w:b/>
      <w:i/>
      <w:snapToGrid w:val="0"/>
      <w:sz w:val="18"/>
      <w:szCs w:val="20"/>
      <w:lang w:val="sv-SE"/>
    </w:rPr>
  </w:style>
  <w:style w:type="paragraph" w:styleId="Footer">
    <w:name w:val="footer"/>
    <w:basedOn w:val="Normal"/>
    <w:link w:val="FooterChar"/>
    <w:uiPriority w:val="99"/>
    <w:rsid w:val="00D6111C"/>
    <w:pPr>
      <w:tabs>
        <w:tab w:val="center" w:pos="4320"/>
        <w:tab w:val="right" w:pos="8640"/>
      </w:tabs>
    </w:pPr>
    <w:rPr>
      <w:lang w:val="sv-SE"/>
    </w:rPr>
  </w:style>
  <w:style w:type="character" w:customStyle="1" w:styleId="FooterChar">
    <w:name w:val="Footer Char"/>
    <w:basedOn w:val="DefaultParagraphFont"/>
    <w:link w:val="Footer"/>
    <w:uiPriority w:val="99"/>
    <w:rsid w:val="00D6111C"/>
    <w:rPr>
      <w:rFonts w:ascii="Arial" w:eastAsia="Times New Roman" w:hAnsi="Arial" w:cs="Times New Roman"/>
      <w:snapToGrid w:val="0"/>
      <w:sz w:val="20"/>
      <w:szCs w:val="20"/>
      <w:lang w:val="sv-SE"/>
    </w:rPr>
  </w:style>
  <w:style w:type="character" w:styleId="PageNumber">
    <w:name w:val="page number"/>
    <w:basedOn w:val="DefaultParagraphFont"/>
    <w:rsid w:val="00D6111C"/>
  </w:style>
  <w:style w:type="character" w:styleId="Hyperlink">
    <w:name w:val="Hyperlink"/>
    <w:uiPriority w:val="99"/>
    <w:rsid w:val="00D6111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qFormat/>
    <w:rsid w:val="00D6111C"/>
    <w:pPr>
      <w:spacing w:before="0"/>
      <w:ind w:left="142" w:hanging="142"/>
      <w:jc w:val="both"/>
    </w:pPr>
    <w:rPr>
      <w:rFonts w:ascii="Times New Roman" w:hAnsi="Times New Roman"/>
      <w:lang w:val="fr-FR"/>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D6111C"/>
    <w:rPr>
      <w:rFonts w:ascii="Times New Roman" w:eastAsia="Times New Roman" w:hAnsi="Times New Roman" w:cs="Times New Roman"/>
      <w:snapToGrid w:val="0"/>
      <w:sz w:val="20"/>
      <w:szCs w:val="20"/>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D6111C"/>
    <w:rPr>
      <w:vertAlign w:val="superscript"/>
    </w:rPr>
  </w:style>
  <w:style w:type="character" w:styleId="Strong">
    <w:name w:val="Strong"/>
    <w:qFormat/>
    <w:rsid w:val="00D6111C"/>
    <w:rPr>
      <w:b/>
    </w:rPr>
  </w:style>
  <w:style w:type="paragraph" w:customStyle="1" w:styleId="StyleHeading1TimesNewRoman14ptItalic">
    <w:name w:val="Style Heading 1 + Times New Roman 14 pt Italic"/>
    <w:basedOn w:val="Heading1"/>
    <w:autoRedefine/>
    <w:rsid w:val="00D6111C"/>
    <w:pPr>
      <w:numPr>
        <w:numId w:val="1"/>
      </w:numPr>
      <w:tabs>
        <w:tab w:val="right" w:pos="567"/>
      </w:tabs>
    </w:pPr>
    <w:rPr>
      <w:rFonts w:ascii="Times New Roman" w:hAnsi="Times New Roman"/>
      <w:bCs/>
      <w:iCs/>
      <w:sz w:val="24"/>
      <w:szCs w:val="24"/>
    </w:rPr>
  </w:style>
  <w:style w:type="character" w:customStyle="1" w:styleId="Heading1Char1">
    <w:name w:val="Heading 1 Char1"/>
    <w:link w:val="Heading1"/>
    <w:rsid w:val="00D6111C"/>
    <w:rPr>
      <w:rFonts w:ascii="Arial" w:eastAsia="Times New Roman" w:hAnsi="Arial" w:cs="Times New Roman"/>
      <w:b/>
      <w:snapToGrid w:val="0"/>
      <w:sz w:val="20"/>
      <w:szCs w:val="20"/>
      <w:lang w:val="fr-BE"/>
    </w:rPr>
  </w:style>
  <w:style w:type="paragraph" w:styleId="CommentText">
    <w:name w:val="annotation text"/>
    <w:basedOn w:val="Normal"/>
    <w:link w:val="CommentTextChar"/>
    <w:uiPriority w:val="99"/>
    <w:semiHidden/>
    <w:rsid w:val="00D6111C"/>
  </w:style>
  <w:style w:type="character" w:customStyle="1" w:styleId="CommentTextChar">
    <w:name w:val="Comment Text Char"/>
    <w:basedOn w:val="DefaultParagraphFont"/>
    <w:link w:val="CommentText"/>
    <w:uiPriority w:val="99"/>
    <w:semiHidden/>
    <w:rsid w:val="00D6111C"/>
    <w:rPr>
      <w:rFonts w:ascii="Arial" w:eastAsia="Times New Roman" w:hAnsi="Arial" w:cs="Times New Roman"/>
      <w:snapToGrid w:val="0"/>
      <w:sz w:val="20"/>
      <w:szCs w:val="20"/>
      <w:lang w:val="en-GB"/>
    </w:rPr>
  </w:style>
  <w:style w:type="paragraph" w:styleId="ListNumber">
    <w:name w:val="List Number"/>
    <w:basedOn w:val="Normal"/>
    <w:rsid w:val="00D6111C"/>
    <w:pPr>
      <w:numPr>
        <w:numId w:val="3"/>
      </w:numPr>
      <w:spacing w:before="0" w:after="240"/>
      <w:jc w:val="both"/>
    </w:pPr>
    <w:rPr>
      <w:rFonts w:ascii="Times New Roman" w:hAnsi="Times New Roman"/>
      <w:snapToGrid/>
      <w:sz w:val="24"/>
    </w:rPr>
  </w:style>
  <w:style w:type="paragraph" w:customStyle="1" w:styleId="ListNumberLevel2">
    <w:name w:val="List Number (Level 2)"/>
    <w:basedOn w:val="Normal"/>
    <w:rsid w:val="00D6111C"/>
    <w:pPr>
      <w:numPr>
        <w:ilvl w:val="1"/>
        <w:numId w:val="3"/>
      </w:numPr>
      <w:spacing w:before="0" w:after="240"/>
      <w:jc w:val="both"/>
    </w:pPr>
    <w:rPr>
      <w:rFonts w:ascii="Times New Roman" w:hAnsi="Times New Roman"/>
      <w:snapToGrid/>
      <w:sz w:val="24"/>
    </w:rPr>
  </w:style>
  <w:style w:type="paragraph" w:customStyle="1" w:styleId="ListNumberLevel3">
    <w:name w:val="List Number (Level 3)"/>
    <w:basedOn w:val="Normal"/>
    <w:rsid w:val="00D6111C"/>
    <w:pPr>
      <w:numPr>
        <w:ilvl w:val="2"/>
        <w:numId w:val="3"/>
      </w:numPr>
      <w:spacing w:before="0" w:after="240"/>
      <w:jc w:val="both"/>
    </w:pPr>
    <w:rPr>
      <w:rFonts w:ascii="Times New Roman" w:hAnsi="Times New Roman"/>
      <w:snapToGrid/>
      <w:sz w:val="24"/>
    </w:rPr>
  </w:style>
  <w:style w:type="paragraph" w:customStyle="1" w:styleId="ListNumberLevel4">
    <w:name w:val="List Number (Level 4)"/>
    <w:basedOn w:val="Normal"/>
    <w:rsid w:val="00D6111C"/>
    <w:pPr>
      <w:numPr>
        <w:ilvl w:val="3"/>
        <w:numId w:val="3"/>
      </w:numPr>
      <w:spacing w:before="0" w:after="240"/>
      <w:jc w:val="both"/>
    </w:pPr>
    <w:rPr>
      <w:rFonts w:ascii="Times New Roman" w:hAnsi="Times New Roman"/>
      <w:snapToGrid/>
      <w:sz w:val="24"/>
    </w:rPr>
  </w:style>
  <w:style w:type="paragraph" w:styleId="Index1">
    <w:name w:val="index 1"/>
    <w:basedOn w:val="Normal"/>
    <w:next w:val="Normal"/>
    <w:autoRedefine/>
    <w:rsid w:val="00D6111C"/>
    <w:pPr>
      <w:ind w:left="200" w:hanging="200"/>
    </w:pPr>
  </w:style>
  <w:style w:type="paragraph" w:styleId="IndexHeading">
    <w:name w:val="index heading"/>
    <w:basedOn w:val="Normal"/>
    <w:next w:val="Index1"/>
    <w:unhideWhenUsed/>
    <w:rsid w:val="00D6111C"/>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knowledge-hub/communicating-and-raising-eu-visibility-guidance-external-actions_e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350DD-1450-4D61-8281-93A40D4E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3067</Words>
  <Characters>17485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Jovčić</dc:creator>
  <cp:keywords/>
  <dc:description/>
  <cp:lastModifiedBy>Jovana Jovčić</cp:lastModifiedBy>
  <cp:revision>3</cp:revision>
  <dcterms:created xsi:type="dcterms:W3CDTF">2025-04-17T06:42:00Z</dcterms:created>
  <dcterms:modified xsi:type="dcterms:W3CDTF">2025-04-17T09:28:00Z</dcterms:modified>
</cp:coreProperties>
</file>