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4404"/>
      </w:tblGrid>
      <w:tr w:rsidR="004B1101" w:rsidRPr="00FB633B" w:rsidTr="004E7AD5">
        <w:trPr>
          <w:trHeight w:val="1079"/>
        </w:trPr>
        <w:tc>
          <w:tcPr>
            <w:tcW w:w="4404" w:type="dxa"/>
          </w:tcPr>
          <w:p w:rsidR="004B1101" w:rsidRPr="00FB633B" w:rsidRDefault="00BC04D6" w:rsidP="00975FE6">
            <w:pPr>
              <w:jc w:val="center"/>
              <w:rPr>
                <w:lang w:val="en-GB"/>
              </w:rPr>
            </w:pPr>
            <w:bookmarkStart w:id="0" w:name="_GoBack"/>
            <w:bookmarkEnd w:id="0"/>
            <w:r>
              <w:rPr>
                <w:noProof/>
              </w:rPr>
              <w:drawing>
                <wp:inline distT="0" distB="0" distL="0" distR="0">
                  <wp:extent cx="417195" cy="68770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17195" cy="687705"/>
                          </a:xfrm>
                          <a:prstGeom prst="rect">
                            <a:avLst/>
                          </a:prstGeom>
                          <a:noFill/>
                          <a:ln w="9525">
                            <a:noFill/>
                            <a:miter lim="800000"/>
                            <a:headEnd/>
                            <a:tailEnd/>
                          </a:ln>
                        </pic:spPr>
                      </pic:pic>
                    </a:graphicData>
                  </a:graphic>
                </wp:inline>
              </w:drawing>
            </w:r>
          </w:p>
          <w:p w:rsidR="004B1101" w:rsidRPr="00FB633B" w:rsidRDefault="00975FE6" w:rsidP="00975FE6">
            <w:pPr>
              <w:jc w:val="center"/>
              <w:rPr>
                <w:lang w:val="en-GB"/>
              </w:rPr>
            </w:pPr>
            <w:r w:rsidRPr="00FB633B">
              <w:rPr>
                <w:lang w:val="en-GB"/>
              </w:rPr>
              <w:t>Rep</w:t>
            </w:r>
            <w:r w:rsidR="00656C37" w:rsidRPr="00FB633B">
              <w:rPr>
                <w:lang w:val="en-GB"/>
              </w:rPr>
              <w:t>u</w:t>
            </w:r>
            <w:r w:rsidRPr="00FB633B">
              <w:rPr>
                <w:lang w:val="en-GB"/>
              </w:rPr>
              <w:t>blic of Serbia</w:t>
            </w:r>
          </w:p>
        </w:tc>
      </w:tr>
      <w:tr w:rsidR="004B1101" w:rsidRPr="00FB633B" w:rsidTr="004E7AD5">
        <w:tc>
          <w:tcPr>
            <w:tcW w:w="4404" w:type="dxa"/>
          </w:tcPr>
          <w:p w:rsidR="00897C1E" w:rsidRDefault="00975FE6" w:rsidP="002625E9">
            <w:pPr>
              <w:jc w:val="center"/>
              <w:rPr>
                <w:b/>
                <w:lang w:val="en-GB"/>
              </w:rPr>
            </w:pPr>
            <w:r w:rsidRPr="00FB633B">
              <w:rPr>
                <w:b/>
                <w:bCs/>
                <w:lang w:val="en-GB"/>
              </w:rPr>
              <w:t xml:space="preserve">MINISTRY OF </w:t>
            </w:r>
            <w:r w:rsidR="004C3328" w:rsidRPr="00FB633B">
              <w:rPr>
                <w:b/>
                <w:lang w:val="en-GB"/>
              </w:rPr>
              <w:t>FINANCE</w:t>
            </w:r>
          </w:p>
          <w:p w:rsidR="004B1101" w:rsidRPr="001C17A5" w:rsidRDefault="004C3328" w:rsidP="001C17A5">
            <w:pPr>
              <w:jc w:val="center"/>
              <w:rPr>
                <w:b/>
                <w:bCs/>
                <w:lang w:val="en-GB"/>
              </w:rPr>
            </w:pPr>
            <w:r w:rsidRPr="00C23714">
              <w:rPr>
                <w:noProof/>
                <w:sz w:val="22"/>
                <w:szCs w:val="22"/>
              </w:rPr>
              <w:t>Department for Contracting and Financing of EU Funded Programmes (CFCU)</w:t>
            </w:r>
          </w:p>
        </w:tc>
      </w:tr>
      <w:tr w:rsidR="004B1101" w:rsidRPr="00FB633B" w:rsidTr="004E7AD5">
        <w:tc>
          <w:tcPr>
            <w:tcW w:w="4404" w:type="dxa"/>
          </w:tcPr>
          <w:p w:rsidR="004B1101" w:rsidRPr="00FB633B" w:rsidRDefault="002625E9" w:rsidP="000D14E9">
            <w:pPr>
              <w:jc w:val="center"/>
              <w:rPr>
                <w:lang w:val="en-GB"/>
              </w:rPr>
            </w:pPr>
            <w:r w:rsidRPr="00FB633B">
              <w:rPr>
                <w:lang w:val="en-GB"/>
              </w:rPr>
              <w:t>Date:</w:t>
            </w:r>
            <w:r w:rsidR="00CB1EAB">
              <w:rPr>
                <w:lang w:val="en-GB"/>
              </w:rPr>
              <w:t xml:space="preserve"> </w:t>
            </w:r>
            <w:r w:rsidR="00DA73E8">
              <w:rPr>
                <w:sz w:val="22"/>
                <w:szCs w:val="22"/>
                <w:lang w:val="en-GB"/>
              </w:rPr>
              <w:t>0</w:t>
            </w:r>
            <w:r w:rsidR="000D14E9">
              <w:rPr>
                <w:sz w:val="22"/>
                <w:szCs w:val="22"/>
                <w:lang w:val="en-GB"/>
              </w:rPr>
              <w:t>8</w:t>
            </w:r>
            <w:r w:rsidR="00922807">
              <w:rPr>
                <w:sz w:val="22"/>
                <w:szCs w:val="22"/>
                <w:lang w:val="en-GB"/>
              </w:rPr>
              <w:t>/04</w:t>
            </w:r>
            <w:r w:rsidR="00E46E6A" w:rsidRPr="00E46E6A">
              <w:rPr>
                <w:sz w:val="22"/>
                <w:szCs w:val="22"/>
                <w:lang w:val="en-GB"/>
              </w:rPr>
              <w:t>/2015</w:t>
            </w:r>
          </w:p>
        </w:tc>
      </w:tr>
      <w:tr w:rsidR="004B1101" w:rsidRPr="00843ECE" w:rsidTr="004E7AD5">
        <w:trPr>
          <w:trHeight w:val="198"/>
        </w:trPr>
        <w:tc>
          <w:tcPr>
            <w:tcW w:w="4404" w:type="dxa"/>
          </w:tcPr>
          <w:p w:rsidR="0000480C" w:rsidRPr="00DA73E8" w:rsidRDefault="004C3328" w:rsidP="004C3328">
            <w:pPr>
              <w:jc w:val="center"/>
              <w:rPr>
                <w:lang w:val="de-DE"/>
              </w:rPr>
            </w:pPr>
            <w:r w:rsidRPr="00DA73E8">
              <w:rPr>
                <w:noProof/>
                <w:sz w:val="22"/>
                <w:szCs w:val="22"/>
                <w:lang w:val="de-DE"/>
              </w:rPr>
              <w:t xml:space="preserve">3-5 Sremska St, </w:t>
            </w:r>
          </w:p>
          <w:p w:rsidR="004B1101" w:rsidRPr="00DA73E8" w:rsidRDefault="00975FE6" w:rsidP="00975FE6">
            <w:pPr>
              <w:jc w:val="center"/>
              <w:rPr>
                <w:lang w:val="de-DE"/>
              </w:rPr>
            </w:pPr>
            <w:r w:rsidRPr="00DA73E8">
              <w:rPr>
                <w:lang w:val="de-DE"/>
              </w:rPr>
              <w:t xml:space="preserve">B e l g r a d e </w:t>
            </w:r>
          </w:p>
          <w:p w:rsidR="004B1101" w:rsidRPr="00DA73E8" w:rsidRDefault="004B1101" w:rsidP="00975FE6">
            <w:pPr>
              <w:jc w:val="center"/>
              <w:rPr>
                <w:lang w:val="de-DE"/>
              </w:rPr>
            </w:pPr>
          </w:p>
        </w:tc>
      </w:tr>
    </w:tbl>
    <w:p w:rsidR="00975FE6" w:rsidRPr="00DA73E8" w:rsidRDefault="00975FE6" w:rsidP="004E7AD5">
      <w:pPr>
        <w:ind w:firstLine="720"/>
        <w:jc w:val="right"/>
        <w:rPr>
          <w:b/>
          <w:lang w:val="de-DE"/>
        </w:rPr>
      </w:pPr>
    </w:p>
    <w:p w:rsidR="009A1274" w:rsidRPr="009D2C2B" w:rsidRDefault="0032531D" w:rsidP="009A1274">
      <w:pPr>
        <w:jc w:val="center"/>
        <w:rPr>
          <w:b/>
        </w:rPr>
      </w:pPr>
      <w:r>
        <w:rPr>
          <w:b/>
        </w:rPr>
        <w:t xml:space="preserve">QUESTIONS AND ANSWERS </w:t>
      </w:r>
      <w:r w:rsidR="009A1274">
        <w:rPr>
          <w:b/>
        </w:rPr>
        <w:t>No. 1</w:t>
      </w:r>
    </w:p>
    <w:p w:rsidR="00333A46" w:rsidRDefault="00333A46" w:rsidP="00740B9B">
      <w:pPr>
        <w:jc w:val="center"/>
        <w:rPr>
          <w:rStyle w:val="Strong"/>
          <w:sz w:val="22"/>
          <w:szCs w:val="22"/>
          <w:lang w:val="en-GB"/>
        </w:rPr>
      </w:pPr>
    </w:p>
    <w:p w:rsidR="00061667" w:rsidRPr="00061667" w:rsidRDefault="00740B9B" w:rsidP="00061667">
      <w:pPr>
        <w:jc w:val="center"/>
        <w:rPr>
          <w:b/>
          <w:sz w:val="22"/>
          <w:szCs w:val="22"/>
          <w:lang w:val="en-GB"/>
        </w:rPr>
      </w:pPr>
      <w:r w:rsidRPr="00C800BF">
        <w:rPr>
          <w:rStyle w:val="Strong"/>
          <w:sz w:val="22"/>
          <w:szCs w:val="22"/>
          <w:lang w:val="en-GB"/>
        </w:rPr>
        <w:br/>
      </w:r>
      <w:r w:rsidR="00061667" w:rsidRPr="00061667">
        <w:rPr>
          <w:b/>
          <w:sz w:val="22"/>
          <w:szCs w:val="22"/>
          <w:lang w:val="en-GB"/>
        </w:rPr>
        <w:t xml:space="preserve">Technical Assistance for Project Preparation of Investment Projects </w:t>
      </w:r>
    </w:p>
    <w:p w:rsidR="00BF2361" w:rsidRDefault="00BF2361" w:rsidP="00061667">
      <w:pPr>
        <w:jc w:val="center"/>
        <w:rPr>
          <w:b/>
          <w:sz w:val="22"/>
          <w:szCs w:val="22"/>
          <w:lang w:val="en-GB"/>
        </w:rPr>
      </w:pPr>
    </w:p>
    <w:p w:rsidR="000D14E9" w:rsidRDefault="009A1274" w:rsidP="000D14E9">
      <w:pPr>
        <w:pStyle w:val="Blockquote"/>
        <w:ind w:left="540"/>
        <w:jc w:val="center"/>
        <w:rPr>
          <w:rStyle w:val="Emphasis"/>
          <w:i w:val="0"/>
          <w:sz w:val="22"/>
          <w:szCs w:val="22"/>
          <w:lang w:val="en-GB"/>
        </w:rPr>
      </w:pPr>
      <w:r w:rsidRPr="00C800BF">
        <w:rPr>
          <w:b/>
          <w:sz w:val="22"/>
          <w:szCs w:val="22"/>
          <w:lang w:val="en-GB"/>
        </w:rPr>
        <w:t>Publication ref.:</w:t>
      </w:r>
      <w:r w:rsidR="00061667" w:rsidRPr="00061667">
        <w:rPr>
          <w:rStyle w:val="Emphasis"/>
          <w:i w:val="0"/>
          <w:sz w:val="22"/>
          <w:szCs w:val="22"/>
          <w:lang w:val="en-GB"/>
        </w:rPr>
        <w:t>EuropeAid/135637/IH/SER/RS</w:t>
      </w:r>
    </w:p>
    <w:p w:rsidR="000D14E9" w:rsidRDefault="000D14E9" w:rsidP="000D14E9">
      <w:pPr>
        <w:pStyle w:val="Blockquote"/>
        <w:ind w:left="0"/>
        <w:rPr>
          <w:b/>
          <w:sz w:val="22"/>
          <w:szCs w:val="22"/>
          <w:lang w:val="en-GB"/>
        </w:rPr>
      </w:pPr>
    </w:p>
    <w:p w:rsidR="006C3185" w:rsidRPr="005A1234" w:rsidRDefault="006C3185" w:rsidP="000D14E9">
      <w:pPr>
        <w:pStyle w:val="Blockquote"/>
        <w:ind w:left="0"/>
        <w:rPr>
          <w:sz w:val="22"/>
          <w:szCs w:val="22"/>
          <w:lang w:val="en-GB"/>
        </w:rPr>
      </w:pPr>
      <w:r>
        <w:rPr>
          <w:b/>
          <w:sz w:val="22"/>
          <w:szCs w:val="22"/>
          <w:lang w:val="en-GB"/>
        </w:rPr>
        <w:t>Tender no</w:t>
      </w:r>
      <w:r w:rsidR="00D85F16">
        <w:rPr>
          <w:b/>
          <w:sz w:val="22"/>
          <w:szCs w:val="22"/>
          <w:lang w:val="en-GB"/>
        </w:rPr>
        <w:t>:</w:t>
      </w:r>
      <w:r w:rsidR="00061667">
        <w:rPr>
          <w:sz w:val="22"/>
          <w:szCs w:val="22"/>
          <w:lang w:val="en-GB"/>
        </w:rPr>
        <w:t>13SER01/14/11</w:t>
      </w:r>
    </w:p>
    <w:p w:rsidR="00020F46" w:rsidRDefault="00020F46" w:rsidP="006D476F">
      <w:pPr>
        <w:rPr>
          <w:b/>
          <w:lang w:val="en-GB"/>
        </w:rPr>
      </w:pPr>
    </w:p>
    <w:tbl>
      <w:tblPr>
        <w:tblStyle w:val="TableGrid"/>
        <w:tblW w:w="0" w:type="auto"/>
        <w:tblLayout w:type="fixed"/>
        <w:tblLook w:val="04A0" w:firstRow="1" w:lastRow="0" w:firstColumn="1" w:lastColumn="0" w:noHBand="0" w:noVBand="1"/>
      </w:tblPr>
      <w:tblGrid>
        <w:gridCol w:w="551"/>
        <w:gridCol w:w="4327"/>
        <w:gridCol w:w="4468"/>
      </w:tblGrid>
      <w:tr w:rsidR="00020F46" w:rsidRPr="00020F46" w:rsidTr="00DA73E8">
        <w:tc>
          <w:tcPr>
            <w:tcW w:w="551" w:type="dxa"/>
          </w:tcPr>
          <w:p w:rsidR="00020F46" w:rsidRPr="00B84F9A" w:rsidRDefault="00020F46" w:rsidP="002369A2">
            <w:pPr>
              <w:jc w:val="center"/>
              <w:rPr>
                <w:rFonts w:ascii="Times New Roman" w:hAnsi="Times New Roman" w:cs="Times New Roman"/>
                <w:b/>
              </w:rPr>
            </w:pPr>
            <w:r w:rsidRPr="00B84F9A">
              <w:rPr>
                <w:rFonts w:ascii="Times New Roman" w:hAnsi="Times New Roman" w:cs="Times New Roman"/>
                <w:b/>
              </w:rPr>
              <w:t>No</w:t>
            </w:r>
          </w:p>
        </w:tc>
        <w:tc>
          <w:tcPr>
            <w:tcW w:w="4327" w:type="dxa"/>
          </w:tcPr>
          <w:p w:rsidR="00020F46" w:rsidRPr="00B84F9A" w:rsidRDefault="00020F46" w:rsidP="002369A2">
            <w:pPr>
              <w:jc w:val="center"/>
              <w:rPr>
                <w:rFonts w:ascii="Times New Roman" w:hAnsi="Times New Roman" w:cs="Times New Roman"/>
                <w:b/>
              </w:rPr>
            </w:pPr>
            <w:r w:rsidRPr="00B84F9A">
              <w:rPr>
                <w:rFonts w:ascii="Times New Roman" w:hAnsi="Times New Roman" w:cs="Times New Roman"/>
                <w:b/>
              </w:rPr>
              <w:t>Question</w:t>
            </w:r>
          </w:p>
        </w:tc>
        <w:tc>
          <w:tcPr>
            <w:tcW w:w="4468" w:type="dxa"/>
          </w:tcPr>
          <w:p w:rsidR="00020F46" w:rsidRPr="00B84F9A" w:rsidRDefault="00020F46" w:rsidP="002369A2">
            <w:pPr>
              <w:jc w:val="center"/>
              <w:rPr>
                <w:rFonts w:ascii="Times New Roman" w:hAnsi="Times New Roman" w:cs="Times New Roman"/>
                <w:b/>
              </w:rPr>
            </w:pPr>
            <w:r w:rsidRPr="00B84F9A">
              <w:rPr>
                <w:rFonts w:ascii="Times New Roman" w:hAnsi="Times New Roman" w:cs="Times New Roman"/>
                <w:b/>
              </w:rPr>
              <w:t>Answer</w:t>
            </w:r>
          </w:p>
        </w:tc>
      </w:tr>
      <w:tr w:rsidR="00020F46" w:rsidRPr="00020F46" w:rsidTr="00DA73E8">
        <w:trPr>
          <w:trHeight w:val="2501"/>
        </w:trPr>
        <w:tc>
          <w:tcPr>
            <w:tcW w:w="551" w:type="dxa"/>
          </w:tcPr>
          <w:p w:rsidR="00020F46" w:rsidRPr="00E60206" w:rsidRDefault="00020F46" w:rsidP="00020F46">
            <w:pPr>
              <w:rPr>
                <w:rFonts w:ascii="Times New Roman" w:hAnsi="Times New Roman" w:cs="Times New Roman"/>
                <w:sz w:val="22"/>
                <w:szCs w:val="22"/>
                <w:lang w:val="en-GB"/>
              </w:rPr>
            </w:pPr>
            <w:r w:rsidRPr="00E60206">
              <w:rPr>
                <w:rFonts w:ascii="Times New Roman" w:hAnsi="Times New Roman" w:cs="Times New Roman"/>
                <w:sz w:val="22"/>
                <w:szCs w:val="22"/>
                <w:lang w:val="en-GB"/>
              </w:rPr>
              <w:t>1.</w:t>
            </w:r>
          </w:p>
        </w:tc>
        <w:tc>
          <w:tcPr>
            <w:tcW w:w="4327" w:type="dxa"/>
          </w:tcPr>
          <w:p w:rsidR="008C0B5A" w:rsidRPr="00DA73E8" w:rsidRDefault="00DA73E8" w:rsidP="008C0B5A">
            <w:pPr>
              <w:pStyle w:val="Default"/>
              <w:jc w:val="both"/>
              <w:rPr>
                <w:rFonts w:ascii="Times New Roman" w:hAnsi="Times New Roman" w:cs="Times New Roman"/>
                <w:sz w:val="22"/>
                <w:szCs w:val="22"/>
              </w:rPr>
            </w:pPr>
            <w:r w:rsidRPr="00DA73E8">
              <w:rPr>
                <w:rFonts w:ascii="Times New Roman" w:hAnsi="Times New Roman" w:cs="Times New Roman"/>
                <w:sz w:val="22"/>
                <w:szCs w:val="22"/>
              </w:rPr>
              <w:t>Under,”</w:t>
            </w:r>
            <w:r w:rsidR="000D14E9">
              <w:rPr>
                <w:rFonts w:ascii="Times New Roman" w:hAnsi="Times New Roman" w:cs="Times New Roman"/>
                <w:sz w:val="22"/>
                <w:szCs w:val="22"/>
              </w:rPr>
              <w:t xml:space="preserve">21, </w:t>
            </w:r>
            <w:r w:rsidR="008C0B5A" w:rsidRPr="00DA73E8">
              <w:rPr>
                <w:rFonts w:ascii="Times New Roman" w:hAnsi="Times New Roman" w:cs="Times New Roman"/>
                <w:sz w:val="22"/>
                <w:szCs w:val="22"/>
              </w:rPr>
              <w:t>Selection criteria: 3. Technical capacity of candidate’, criteria a) and b), refer to ‘major infrastructure projects’.”</w:t>
            </w:r>
          </w:p>
          <w:p w:rsidR="008C0B5A" w:rsidRPr="00DA73E8" w:rsidRDefault="008C0B5A" w:rsidP="008C0B5A">
            <w:pPr>
              <w:pStyle w:val="Default"/>
              <w:jc w:val="both"/>
              <w:rPr>
                <w:rFonts w:ascii="Times New Roman" w:hAnsi="Times New Roman" w:cs="Times New Roman"/>
                <w:sz w:val="22"/>
                <w:szCs w:val="22"/>
              </w:rPr>
            </w:pPr>
            <w:r w:rsidRPr="00DA73E8">
              <w:rPr>
                <w:rFonts w:ascii="Times New Roman" w:hAnsi="Times New Roman" w:cs="Times New Roman"/>
                <w:sz w:val="22"/>
                <w:szCs w:val="22"/>
              </w:rPr>
              <w:t>To our understanding, under IPA II, there is no definition of ‘major infrastructure projects’.</w:t>
            </w:r>
          </w:p>
          <w:p w:rsidR="00020F46" w:rsidRPr="00DA73E8" w:rsidRDefault="008C0B5A" w:rsidP="008C0B5A">
            <w:pPr>
              <w:jc w:val="both"/>
              <w:rPr>
                <w:rFonts w:ascii="Times New Roman" w:hAnsi="Times New Roman" w:cs="Times New Roman"/>
                <w:sz w:val="22"/>
                <w:szCs w:val="22"/>
              </w:rPr>
            </w:pPr>
            <w:r w:rsidRPr="00DA73E8">
              <w:rPr>
                <w:rFonts w:ascii="Times New Roman" w:hAnsi="Times New Roman" w:cs="Times New Roman"/>
                <w:sz w:val="22"/>
                <w:szCs w:val="22"/>
              </w:rPr>
              <w:t>We kindly ask the Contracting Authority to provide a definition o</w:t>
            </w:r>
            <w:r w:rsidR="00DA73E8" w:rsidRPr="00DA73E8">
              <w:rPr>
                <w:rFonts w:ascii="Times New Roman" w:hAnsi="Times New Roman" w:cs="Times New Roman"/>
                <w:sz w:val="22"/>
                <w:szCs w:val="22"/>
              </w:rPr>
              <w:t>f</w:t>
            </w:r>
            <w:r w:rsidRPr="00DA73E8">
              <w:rPr>
                <w:rFonts w:ascii="Times New Roman" w:hAnsi="Times New Roman" w:cs="Times New Roman"/>
                <w:sz w:val="22"/>
                <w:szCs w:val="22"/>
              </w:rPr>
              <w:t xml:space="preserve"> ‘major infrastructure projects’ and the legal basis from IPA II regulations.</w:t>
            </w:r>
          </w:p>
        </w:tc>
        <w:tc>
          <w:tcPr>
            <w:tcW w:w="4468" w:type="dxa"/>
          </w:tcPr>
          <w:p w:rsidR="00D94172" w:rsidRDefault="00583558" w:rsidP="00332B45">
            <w:pPr>
              <w:pStyle w:val="PlainText"/>
              <w:jc w:val="both"/>
              <w:rPr>
                <w:rFonts w:ascii="Times New Roman" w:hAnsi="Times New Roman" w:cs="Times New Roman"/>
                <w:szCs w:val="22"/>
              </w:rPr>
            </w:pPr>
            <w:r>
              <w:rPr>
                <w:rFonts w:ascii="Times New Roman" w:hAnsi="Times New Roman" w:cs="Times New Roman"/>
                <w:szCs w:val="22"/>
              </w:rPr>
              <w:t xml:space="preserve">In the context </w:t>
            </w:r>
            <w:r w:rsidR="00D94172">
              <w:rPr>
                <w:rFonts w:ascii="Times New Roman" w:hAnsi="Times New Roman" w:cs="Times New Roman"/>
                <w:szCs w:val="22"/>
              </w:rPr>
              <w:t xml:space="preserve">of this </w:t>
            </w:r>
            <w:r w:rsidR="00332B45">
              <w:rPr>
                <w:rFonts w:ascii="Times New Roman" w:hAnsi="Times New Roman" w:cs="Times New Roman"/>
                <w:szCs w:val="22"/>
              </w:rPr>
              <w:t xml:space="preserve">Contract Notice, </w:t>
            </w:r>
            <w:r w:rsidR="00D94172" w:rsidRPr="00DA73E8">
              <w:rPr>
                <w:rFonts w:ascii="Times New Roman" w:hAnsi="Times New Roman" w:cs="Times New Roman"/>
                <w:i/>
                <w:iCs/>
                <w:szCs w:val="22"/>
              </w:rPr>
              <w:t>major infrastructure project</w:t>
            </w:r>
            <w:r w:rsidR="00D94172">
              <w:rPr>
                <w:rFonts w:ascii="Times New Roman" w:hAnsi="Times New Roman" w:cs="Times New Roman"/>
                <w:szCs w:val="22"/>
              </w:rPr>
              <w:t xml:space="preserve"> is to be considered as a </w:t>
            </w:r>
            <w:r w:rsidR="00D94172" w:rsidRPr="00DA73E8">
              <w:rPr>
                <w:rFonts w:ascii="Times New Roman" w:hAnsi="Times New Roman" w:cs="Times New Roman"/>
                <w:i/>
                <w:iCs/>
                <w:szCs w:val="22"/>
              </w:rPr>
              <w:t>major project</w:t>
            </w:r>
            <w:r w:rsidR="00D94172">
              <w:rPr>
                <w:rFonts w:ascii="Times New Roman" w:hAnsi="Times New Roman" w:cs="Times New Roman"/>
                <w:szCs w:val="22"/>
              </w:rPr>
              <w:t xml:space="preserve"> comprising of </w:t>
            </w:r>
            <w:r w:rsidR="00D94172" w:rsidRPr="008C0B5A">
              <w:rPr>
                <w:rFonts w:ascii="Times New Roman" w:hAnsi="Times New Roman" w:cs="Times New Roman"/>
                <w:szCs w:val="22"/>
              </w:rPr>
              <w:t>a series of works, activities or services which is intended, in itself, to accomplish a definite and indivisible task of a precise economic or technical nature, which has clearly identified goals and whose total cost exceeds EUR 10 million</w:t>
            </w:r>
            <w:r w:rsidR="00D94172">
              <w:rPr>
                <w:rFonts w:ascii="Times New Roman" w:hAnsi="Times New Roman" w:cs="Times New Roman"/>
                <w:szCs w:val="22"/>
              </w:rPr>
              <w:t>.</w:t>
            </w:r>
          </w:p>
          <w:p w:rsidR="00D94172" w:rsidRDefault="00D94172" w:rsidP="007A7B6E">
            <w:pPr>
              <w:pStyle w:val="PlainText"/>
              <w:jc w:val="both"/>
              <w:rPr>
                <w:rFonts w:ascii="Times New Roman" w:hAnsi="Times New Roman" w:cs="Times New Roman"/>
                <w:szCs w:val="22"/>
              </w:rPr>
            </w:pPr>
          </w:p>
          <w:p w:rsidR="00D94172" w:rsidRPr="00DA73E8" w:rsidRDefault="009C6E16" w:rsidP="009C6E16">
            <w:pPr>
              <w:pStyle w:val="PlainText"/>
              <w:jc w:val="both"/>
              <w:rPr>
                <w:rFonts w:ascii="Times New Roman" w:hAnsi="Times New Roman" w:cs="Times New Roman"/>
                <w:szCs w:val="22"/>
              </w:rPr>
            </w:pPr>
            <w:r>
              <w:rPr>
                <w:rFonts w:ascii="Times New Roman" w:hAnsi="Times New Roman" w:cs="Times New Roman"/>
                <w:szCs w:val="22"/>
              </w:rPr>
              <w:t>Above quoted definition</w:t>
            </w:r>
            <w:r w:rsidR="005809B3">
              <w:rPr>
                <w:rFonts w:ascii="Times New Roman" w:hAnsi="Times New Roman" w:cs="Times New Roman"/>
                <w:szCs w:val="22"/>
              </w:rPr>
              <w:t xml:space="preserve"> is based on </w:t>
            </w:r>
            <w:r w:rsidR="00D05508">
              <w:rPr>
                <w:rFonts w:ascii="Times New Roman" w:hAnsi="Times New Roman" w:cs="Times New Roman"/>
                <w:szCs w:val="22"/>
              </w:rPr>
              <w:t xml:space="preserve">The </w:t>
            </w:r>
            <w:r w:rsidR="00796DE3">
              <w:rPr>
                <w:rFonts w:ascii="Times New Roman" w:hAnsi="Times New Roman" w:cs="Times New Roman"/>
                <w:szCs w:val="22"/>
              </w:rPr>
              <w:t>Commission Implementing Regulation (EU) No 447/2014 of 2 May 2014 (IPA II),</w:t>
            </w:r>
            <w:r>
              <w:rPr>
                <w:rFonts w:ascii="Times New Roman" w:hAnsi="Times New Roman" w:cs="Times New Roman"/>
                <w:szCs w:val="22"/>
              </w:rPr>
              <w:t xml:space="preserve"> Article 2</w:t>
            </w:r>
            <w:r w:rsidR="00796DE3">
              <w:rPr>
                <w:rFonts w:ascii="Times New Roman" w:hAnsi="Times New Roman" w:cs="Times New Roman"/>
                <w:szCs w:val="22"/>
              </w:rPr>
              <w:t xml:space="preserve">, point </w:t>
            </w:r>
            <w:r w:rsidR="00D05508">
              <w:rPr>
                <w:rFonts w:ascii="Times New Roman" w:hAnsi="Times New Roman" w:cs="Times New Roman"/>
                <w:szCs w:val="22"/>
              </w:rPr>
              <w:t>(g)</w:t>
            </w:r>
            <w:r w:rsidR="007A7B6E">
              <w:rPr>
                <w:rFonts w:ascii="Times New Roman" w:hAnsi="Times New Roman" w:cs="Times New Roman"/>
                <w:szCs w:val="22"/>
              </w:rPr>
              <w:t>,</w:t>
            </w:r>
            <w:r w:rsidR="00D05508">
              <w:rPr>
                <w:rFonts w:ascii="Times New Roman" w:hAnsi="Times New Roman" w:cs="Times New Roman"/>
                <w:szCs w:val="22"/>
              </w:rPr>
              <w:t xml:space="preserve"> </w:t>
            </w:r>
            <w:r w:rsidR="005809B3">
              <w:rPr>
                <w:rFonts w:ascii="Times New Roman" w:hAnsi="Times New Roman" w:cs="Times New Roman"/>
                <w:szCs w:val="22"/>
              </w:rPr>
              <w:t xml:space="preserve"> </w:t>
            </w:r>
            <w:r>
              <w:rPr>
                <w:rFonts w:ascii="Times New Roman" w:hAnsi="Times New Roman" w:cs="Times New Roman"/>
                <w:szCs w:val="22"/>
              </w:rPr>
              <w:t xml:space="preserve">as well as </w:t>
            </w:r>
            <w:r w:rsidR="007A7B6E">
              <w:rPr>
                <w:rFonts w:ascii="Times New Roman" w:hAnsi="Times New Roman" w:cs="Times New Roman"/>
                <w:szCs w:val="22"/>
              </w:rPr>
              <w:t>Article 62</w:t>
            </w:r>
            <w:r w:rsidR="00EB2A31">
              <w:rPr>
                <w:rFonts w:ascii="Times New Roman" w:hAnsi="Times New Roman" w:cs="Times New Roman"/>
                <w:szCs w:val="22"/>
              </w:rPr>
              <w:t>, point 2</w:t>
            </w:r>
            <w:r w:rsidR="007A7B6E">
              <w:rPr>
                <w:rFonts w:ascii="Times New Roman" w:hAnsi="Times New Roman" w:cs="Times New Roman"/>
                <w:szCs w:val="22"/>
              </w:rPr>
              <w:t xml:space="preserve"> of the </w:t>
            </w:r>
            <w:r w:rsidR="00D05508" w:rsidRPr="00DA73E8">
              <w:rPr>
                <w:rFonts w:ascii="Times New Roman" w:hAnsi="Times New Roman" w:cs="Times New Roman"/>
                <w:szCs w:val="22"/>
              </w:rPr>
              <w:t>Framework Agreement (IPA II</w:t>
            </w:r>
            <w:r w:rsidR="007A7B6E" w:rsidRPr="00DA73E8">
              <w:rPr>
                <w:rFonts w:ascii="Times New Roman" w:hAnsi="Times New Roman" w:cs="Times New Roman"/>
                <w:szCs w:val="22"/>
              </w:rPr>
              <w:t>) concluded</w:t>
            </w:r>
            <w:r w:rsidR="00D05508" w:rsidRPr="00DA73E8">
              <w:rPr>
                <w:rFonts w:ascii="Times New Roman" w:hAnsi="Times New Roman" w:cs="Times New Roman"/>
                <w:szCs w:val="22"/>
              </w:rPr>
              <w:t xml:space="preserve"> between the Republ</w:t>
            </w:r>
            <w:r w:rsidR="00D56C46" w:rsidRPr="00D56C46">
              <w:rPr>
                <w:rFonts w:ascii="Times New Roman" w:hAnsi="Times New Roman" w:cs="Times New Roman"/>
                <w:szCs w:val="22"/>
              </w:rPr>
              <w:t>ic of Serbia and the Commission</w:t>
            </w:r>
            <w:r w:rsidR="00D56C46">
              <w:rPr>
                <w:rFonts w:ascii="Times New Roman" w:hAnsi="Times New Roman" w:cs="Times New Roman"/>
                <w:szCs w:val="22"/>
              </w:rPr>
              <w:t>.</w:t>
            </w:r>
            <w:r w:rsidR="00D05508" w:rsidRPr="00DA73E8">
              <w:rPr>
                <w:rFonts w:ascii="Times New Roman" w:hAnsi="Times New Roman" w:cs="Times New Roman"/>
                <w:szCs w:val="22"/>
              </w:rPr>
              <w:t xml:space="preserve"> </w:t>
            </w:r>
          </w:p>
          <w:p w:rsidR="00D94172" w:rsidRPr="00DA73E8" w:rsidRDefault="00D94172" w:rsidP="007A7B6E">
            <w:pPr>
              <w:pStyle w:val="PlainText"/>
              <w:jc w:val="both"/>
              <w:rPr>
                <w:rFonts w:ascii="Times New Roman" w:hAnsi="Times New Roman" w:cs="Times New Roman"/>
                <w:i/>
                <w:iCs/>
                <w:szCs w:val="22"/>
              </w:rPr>
            </w:pPr>
          </w:p>
          <w:p w:rsidR="00843ECE" w:rsidRPr="00B84F9A" w:rsidRDefault="00843ECE" w:rsidP="00D94172">
            <w:pPr>
              <w:pStyle w:val="PlainText"/>
              <w:jc w:val="both"/>
              <w:rPr>
                <w:rFonts w:ascii="Times New Roman" w:hAnsi="Times New Roman" w:cs="Times New Roman"/>
                <w:szCs w:val="22"/>
              </w:rPr>
            </w:pPr>
          </w:p>
        </w:tc>
      </w:tr>
      <w:tr w:rsidR="0059456D" w:rsidRPr="00020F46" w:rsidTr="00DA73E8">
        <w:tc>
          <w:tcPr>
            <w:tcW w:w="551" w:type="dxa"/>
          </w:tcPr>
          <w:p w:rsidR="0059456D" w:rsidRPr="00E60206" w:rsidRDefault="0059456D" w:rsidP="00020F46">
            <w:pPr>
              <w:rPr>
                <w:rFonts w:ascii="Times New Roman" w:hAnsi="Times New Roman" w:cs="Times New Roman"/>
                <w:sz w:val="22"/>
                <w:szCs w:val="22"/>
                <w:lang w:val="en-GB"/>
              </w:rPr>
            </w:pPr>
            <w:r w:rsidRPr="00E60206">
              <w:rPr>
                <w:rFonts w:ascii="Times New Roman" w:hAnsi="Times New Roman" w:cs="Times New Roman"/>
                <w:sz w:val="22"/>
                <w:szCs w:val="22"/>
                <w:lang w:val="en-GB"/>
              </w:rPr>
              <w:t>2</w:t>
            </w:r>
          </w:p>
        </w:tc>
        <w:tc>
          <w:tcPr>
            <w:tcW w:w="4327" w:type="dxa"/>
          </w:tcPr>
          <w:p w:rsidR="00364915" w:rsidRPr="00DA73E8" w:rsidRDefault="00364915"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Interesuje me, ukoliko mi možete</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reći, kako</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funkcioniše</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priprema</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ponude.</w:t>
            </w:r>
          </w:p>
          <w:p w:rsidR="00364915" w:rsidRPr="00DA73E8" w:rsidRDefault="00364915"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Konkretno me interesuje tender Technical assistance for project preparation of investment projects.</w:t>
            </w:r>
          </w:p>
          <w:p w:rsidR="00364915" w:rsidRPr="0010218F" w:rsidRDefault="00364915" w:rsidP="00364915">
            <w:pPr>
              <w:pStyle w:val="Default"/>
              <w:jc w:val="both"/>
              <w:rPr>
                <w:rFonts w:ascii="Times New Roman" w:hAnsi="Times New Roman" w:cs="Times New Roman"/>
                <w:sz w:val="22"/>
                <w:szCs w:val="22"/>
                <w:lang w:val="fr-BE"/>
              </w:rPr>
            </w:pPr>
            <w:r w:rsidRPr="0010218F">
              <w:rPr>
                <w:rFonts w:ascii="Times New Roman" w:hAnsi="Times New Roman" w:cs="Times New Roman"/>
                <w:sz w:val="22"/>
                <w:szCs w:val="22"/>
                <w:lang w:val="fr-BE"/>
              </w:rPr>
              <w:t>U dokumentu Service contract notice navodi se sledeće:</w:t>
            </w:r>
          </w:p>
          <w:p w:rsidR="00364915" w:rsidRPr="00DA73E8" w:rsidRDefault="00364915"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"Application format and details to be provided:</w:t>
            </w:r>
          </w:p>
          <w:p w:rsidR="0059456D" w:rsidRPr="00DA73E8" w:rsidRDefault="00364915"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 xml:space="preserve">Applications must be submitted using the standard application form, the format and instructions of which must be strictly observed. The application form is available from the following Internet address: </w:t>
            </w:r>
            <w:r w:rsidRPr="00DA73E8">
              <w:rPr>
                <w:rFonts w:ascii="Times New Roman" w:hAnsi="Times New Roman" w:cs="Times New Roman"/>
                <w:sz w:val="22"/>
                <w:szCs w:val="22"/>
              </w:rPr>
              <w:lastRenderedPageBreak/>
              <w:t>http://ec.europa.eu/eu</w:t>
            </w:r>
            <w:r w:rsidR="003E5AEA" w:rsidRPr="00DA73E8">
              <w:rPr>
                <w:rFonts w:ascii="Times New Roman" w:hAnsi="Times New Roman" w:cs="Times New Roman"/>
                <w:sz w:val="22"/>
                <w:szCs w:val="22"/>
              </w:rPr>
              <w:t>ropeaid/prag/annexes.do?group=</w:t>
            </w:r>
            <w:r w:rsidR="000A232B" w:rsidRPr="00DA73E8">
              <w:rPr>
                <w:rFonts w:ascii="Times New Roman" w:hAnsi="Times New Roman" w:cs="Times New Roman"/>
                <w:sz w:val="22"/>
                <w:szCs w:val="22"/>
              </w:rPr>
              <w:t>B “</w:t>
            </w:r>
            <w:r w:rsidRPr="00DA73E8">
              <w:rPr>
                <w:rFonts w:ascii="Times New Roman" w:hAnsi="Times New Roman" w:cs="Times New Roman"/>
                <w:sz w:val="22"/>
                <w:szCs w:val="22"/>
              </w:rPr>
              <w:t>.Da li to znači da se zarad</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pripreme</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ponude</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mora</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proučiti</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Prag, i da li to važi</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za</w:t>
            </w:r>
            <w:r w:rsidR="00DA73E8" w:rsidRPr="00DA73E8">
              <w:rPr>
                <w:rFonts w:ascii="Times New Roman" w:hAnsi="Times New Roman" w:cs="Times New Roman"/>
                <w:sz w:val="22"/>
                <w:szCs w:val="22"/>
              </w:rPr>
              <w:t xml:space="preserve"> </w:t>
            </w:r>
            <w:r w:rsidRPr="00DA73E8">
              <w:rPr>
                <w:rFonts w:ascii="Times New Roman" w:hAnsi="Times New Roman" w:cs="Times New Roman"/>
                <w:sz w:val="22"/>
                <w:szCs w:val="22"/>
              </w:rPr>
              <w:t xml:space="preserve">svaki IPA tender? </w:t>
            </w:r>
          </w:p>
          <w:p w:rsidR="00EC5184" w:rsidRPr="00DA73E8" w:rsidRDefault="00EC5184" w:rsidP="00364915">
            <w:pPr>
              <w:pStyle w:val="Default"/>
              <w:jc w:val="both"/>
              <w:rPr>
                <w:rFonts w:ascii="Times New Roman" w:hAnsi="Times New Roman" w:cs="Times New Roman"/>
                <w:sz w:val="22"/>
                <w:szCs w:val="22"/>
              </w:rPr>
            </w:pPr>
          </w:p>
          <w:p w:rsidR="00EC5184" w:rsidRPr="00DA73E8" w:rsidRDefault="00EC5184" w:rsidP="000D14E9">
            <w:pPr>
              <w:pStyle w:val="Default"/>
              <w:jc w:val="both"/>
              <w:rPr>
                <w:rFonts w:ascii="Times New Roman" w:hAnsi="Times New Roman" w:cs="Times New Roman"/>
                <w:sz w:val="22"/>
                <w:szCs w:val="22"/>
              </w:rPr>
            </w:pPr>
          </w:p>
        </w:tc>
        <w:tc>
          <w:tcPr>
            <w:tcW w:w="4468" w:type="dxa"/>
          </w:tcPr>
          <w:p w:rsidR="0059456D" w:rsidRPr="00B84F9A" w:rsidRDefault="000D14E9" w:rsidP="00DA73E8">
            <w:pPr>
              <w:pStyle w:val="PlainText"/>
              <w:jc w:val="both"/>
              <w:rPr>
                <w:rFonts w:ascii="Times New Roman" w:hAnsi="Times New Roman" w:cs="Times New Roman"/>
                <w:szCs w:val="22"/>
              </w:rPr>
            </w:pPr>
            <w:r w:rsidRPr="000D14E9">
              <w:rPr>
                <w:rFonts w:ascii="Times New Roman" w:hAnsi="Times New Roman" w:cs="Times New Roman"/>
                <w:szCs w:val="22"/>
              </w:rPr>
              <w:lastRenderedPageBreak/>
              <w:t>Please note that in line with the Section</w:t>
            </w:r>
            <w:r w:rsidRPr="000D14E9">
              <w:rPr>
                <w:rFonts w:ascii="Times New Roman" w:hAnsi="Times New Roman" w:cs="Times New Roman"/>
                <w:b/>
                <w:szCs w:val="22"/>
              </w:rPr>
              <w:t xml:space="preserve"> </w:t>
            </w:r>
            <w:r w:rsidRPr="000D14E9">
              <w:rPr>
                <w:rFonts w:ascii="Times New Roman" w:hAnsi="Times New Roman" w:cs="Times New Roman"/>
                <w:szCs w:val="22"/>
              </w:rPr>
              <w:t xml:space="preserve">27 of the Contract Notice </w:t>
            </w:r>
            <w:r w:rsidRPr="000D14E9">
              <w:rPr>
                <w:rFonts w:ascii="Times New Roman" w:hAnsi="Times New Roman" w:cs="Times New Roman"/>
                <w:i/>
                <w:szCs w:val="22"/>
              </w:rPr>
              <w:t>“All written communications for this tender procedure and contract must be in English”.</w:t>
            </w:r>
          </w:p>
        </w:tc>
      </w:tr>
      <w:tr w:rsidR="00DD345E" w:rsidRPr="00020F46" w:rsidTr="00DA73E8">
        <w:trPr>
          <w:trHeight w:val="4490"/>
        </w:trPr>
        <w:tc>
          <w:tcPr>
            <w:tcW w:w="551" w:type="dxa"/>
          </w:tcPr>
          <w:p w:rsidR="00DD345E" w:rsidRPr="00E60206" w:rsidRDefault="00DD345E" w:rsidP="00020F46">
            <w:pPr>
              <w:rPr>
                <w:rFonts w:ascii="Times New Roman" w:hAnsi="Times New Roman" w:cs="Times New Roman"/>
                <w:sz w:val="22"/>
                <w:szCs w:val="22"/>
                <w:lang w:val="en-GB"/>
              </w:rPr>
            </w:pPr>
            <w:r w:rsidRPr="00E60206">
              <w:rPr>
                <w:rFonts w:ascii="Times New Roman" w:hAnsi="Times New Roman" w:cs="Times New Roman"/>
                <w:sz w:val="22"/>
                <w:szCs w:val="22"/>
                <w:lang w:val="en-GB"/>
              </w:rPr>
              <w:lastRenderedPageBreak/>
              <w:t>3</w:t>
            </w:r>
          </w:p>
        </w:tc>
        <w:tc>
          <w:tcPr>
            <w:tcW w:w="4327" w:type="dxa"/>
          </w:tcPr>
          <w:p w:rsidR="00DD345E" w:rsidRPr="00DA73E8" w:rsidRDefault="00DD345E"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Following your publication notice we would like you to clarify if for the Selection Criteria, Technical capacity of the candidate must provide:</w:t>
            </w:r>
          </w:p>
          <w:p w:rsidR="00DD345E" w:rsidRPr="00DA73E8" w:rsidRDefault="00DD345E" w:rsidP="00364915">
            <w:pPr>
              <w:pStyle w:val="Default"/>
              <w:jc w:val="both"/>
              <w:rPr>
                <w:rFonts w:ascii="Times New Roman" w:hAnsi="Times New Roman" w:cs="Times New Roman"/>
                <w:b/>
                <w:sz w:val="22"/>
                <w:szCs w:val="22"/>
              </w:rPr>
            </w:pPr>
            <w:r w:rsidRPr="00DA73E8">
              <w:rPr>
                <w:rFonts w:ascii="Times New Roman" w:hAnsi="Times New Roman" w:cs="Times New Roman"/>
                <w:b/>
                <w:sz w:val="22"/>
                <w:szCs w:val="22"/>
              </w:rPr>
              <w:t>Q1: Contracts which includes preparation of major infrastructure projects with a value of at least 2.750.000 Euro for each contract?</w:t>
            </w:r>
          </w:p>
          <w:p w:rsidR="00DD345E" w:rsidRPr="00DA73E8" w:rsidRDefault="00DD345E" w:rsidP="00364915">
            <w:pPr>
              <w:pStyle w:val="Default"/>
              <w:jc w:val="both"/>
              <w:rPr>
                <w:rFonts w:ascii="Times New Roman" w:hAnsi="Times New Roman" w:cs="Times New Roman"/>
                <w:sz w:val="22"/>
                <w:szCs w:val="22"/>
              </w:rPr>
            </w:pPr>
            <w:r w:rsidRPr="00DA73E8">
              <w:rPr>
                <w:rFonts w:ascii="Times New Roman" w:hAnsi="Times New Roman" w:cs="Times New Roman"/>
                <w:b/>
                <w:sz w:val="22"/>
                <w:szCs w:val="22"/>
              </w:rPr>
              <w:t>Q2: Contracts which includes capacity building of public institutions in the preparation of major project infrastructure with a value of at least 1.000.000 Euro for each contract?</w:t>
            </w:r>
          </w:p>
        </w:tc>
        <w:tc>
          <w:tcPr>
            <w:tcW w:w="4468" w:type="dxa"/>
          </w:tcPr>
          <w:p w:rsidR="009C6E16" w:rsidRDefault="00EB2A31" w:rsidP="00583558">
            <w:pPr>
              <w:pStyle w:val="PlainText"/>
              <w:jc w:val="both"/>
              <w:rPr>
                <w:rFonts w:ascii="Times New Roman" w:hAnsi="Times New Roman" w:cs="Times New Roman"/>
              </w:rPr>
            </w:pPr>
            <w:r>
              <w:rPr>
                <w:rFonts w:ascii="Times New Roman" w:hAnsi="Times New Roman" w:cs="Times New Roman"/>
              </w:rPr>
              <w:t>In terms of value, e</w:t>
            </w:r>
            <w:r w:rsidR="00FE3D09">
              <w:rPr>
                <w:rFonts w:ascii="Times New Roman" w:hAnsi="Times New Roman" w:cs="Times New Roman"/>
              </w:rPr>
              <w:t>mphasis is on p</w:t>
            </w:r>
            <w:r w:rsidR="009C6E16">
              <w:rPr>
                <w:rFonts w:ascii="Times New Roman" w:hAnsi="Times New Roman" w:cs="Times New Roman"/>
              </w:rPr>
              <w:t>ropor</w:t>
            </w:r>
            <w:r w:rsidR="00FE3D09">
              <w:rPr>
                <w:rFonts w:ascii="Times New Roman" w:hAnsi="Times New Roman" w:cs="Times New Roman"/>
              </w:rPr>
              <w:t xml:space="preserve">tion of the referenced contract </w:t>
            </w:r>
            <w:r w:rsidR="00FE3D09" w:rsidRPr="00FE3D09">
              <w:rPr>
                <w:rFonts w:ascii="Times New Roman" w:hAnsi="Times New Roman" w:cs="Times New Roman"/>
              </w:rPr>
              <w:t>carried out by the respective entity</w:t>
            </w:r>
            <w:r w:rsidR="00FE3D09">
              <w:rPr>
                <w:rFonts w:ascii="Times New Roman" w:hAnsi="Times New Roman" w:cs="Times New Roman"/>
              </w:rPr>
              <w:t>, which must be at least EUR 2.750.000</w:t>
            </w:r>
            <w:r w:rsidR="0011146B">
              <w:rPr>
                <w:rFonts w:ascii="Times New Roman" w:hAnsi="Times New Roman" w:cs="Times New Roman"/>
              </w:rPr>
              <w:t xml:space="preserve"> in case of technical criterion 3 (a) and at least </w:t>
            </w:r>
            <w:r w:rsidR="00583558">
              <w:rPr>
                <w:rFonts w:ascii="Times New Roman" w:hAnsi="Times New Roman" w:cs="Times New Roman"/>
              </w:rPr>
              <w:t xml:space="preserve">EUR </w:t>
            </w:r>
            <w:r w:rsidR="0011146B">
              <w:rPr>
                <w:rFonts w:ascii="Times New Roman" w:hAnsi="Times New Roman" w:cs="Times New Roman"/>
              </w:rPr>
              <w:t>1.000.000 in case of technical criterion 3 (b)</w:t>
            </w:r>
            <w:r w:rsidR="00FE3D09">
              <w:rPr>
                <w:rFonts w:ascii="Times New Roman" w:hAnsi="Times New Roman" w:cs="Times New Roman"/>
              </w:rPr>
              <w:t>. As an example</w:t>
            </w:r>
            <w:r w:rsidR="00583558">
              <w:rPr>
                <w:rFonts w:ascii="Times New Roman" w:hAnsi="Times New Roman" w:cs="Times New Roman"/>
              </w:rPr>
              <w:t xml:space="preserve">, </w:t>
            </w:r>
            <w:r w:rsidR="0011146B">
              <w:rPr>
                <w:rFonts w:ascii="Times New Roman" w:hAnsi="Times New Roman" w:cs="Times New Roman"/>
              </w:rPr>
              <w:t xml:space="preserve"> in case of criterion 3 (a)</w:t>
            </w:r>
            <w:r w:rsidR="00583558">
              <w:rPr>
                <w:rFonts w:ascii="Times New Roman" w:hAnsi="Times New Roman" w:cs="Times New Roman"/>
              </w:rPr>
              <w:t xml:space="preserve"> and under assumption of the reference being compliant with all other requirements under respective criterion</w:t>
            </w:r>
            <w:r w:rsidR="00FE3D09">
              <w:rPr>
                <w:rFonts w:ascii="Times New Roman" w:hAnsi="Times New Roman" w:cs="Times New Roman"/>
              </w:rPr>
              <w:t xml:space="preserve">, if the proportion carried out by the entity is below EUR 2.750.000, reference would not be acceptable </w:t>
            </w:r>
            <w:r w:rsidR="00D966CC">
              <w:rPr>
                <w:rFonts w:ascii="Times New Roman" w:hAnsi="Times New Roman" w:cs="Times New Roman"/>
              </w:rPr>
              <w:t>even if referenced</w:t>
            </w:r>
            <w:r w:rsidR="00FE3D09">
              <w:rPr>
                <w:rFonts w:ascii="Times New Roman" w:hAnsi="Times New Roman" w:cs="Times New Roman"/>
              </w:rPr>
              <w:t xml:space="preserve"> </w:t>
            </w:r>
            <w:r w:rsidR="00D966CC">
              <w:rPr>
                <w:rFonts w:ascii="Times New Roman" w:hAnsi="Times New Roman" w:cs="Times New Roman"/>
              </w:rPr>
              <w:t xml:space="preserve">contract </w:t>
            </w:r>
            <w:r w:rsidR="00FE3D09">
              <w:rPr>
                <w:rFonts w:ascii="Times New Roman" w:hAnsi="Times New Roman" w:cs="Times New Roman"/>
              </w:rPr>
              <w:t xml:space="preserve">exceeds EUR 2.750.000.  </w:t>
            </w:r>
          </w:p>
          <w:p w:rsidR="000D14E9" w:rsidRDefault="000D14E9" w:rsidP="00601248">
            <w:pPr>
              <w:pStyle w:val="PlainText"/>
              <w:jc w:val="both"/>
              <w:rPr>
                <w:rFonts w:ascii="Times New Roman" w:hAnsi="Times New Roman" w:cs="Times New Roman"/>
              </w:rPr>
            </w:pPr>
          </w:p>
          <w:p w:rsidR="0011146B" w:rsidRDefault="000D14E9" w:rsidP="00601248">
            <w:pPr>
              <w:pStyle w:val="PlainText"/>
              <w:jc w:val="both"/>
              <w:rPr>
                <w:rFonts w:ascii="Times New Roman" w:hAnsi="Times New Roman" w:cs="Times New Roman"/>
              </w:rPr>
            </w:pPr>
            <w:r>
              <w:rPr>
                <w:rFonts w:ascii="Times New Roman" w:hAnsi="Times New Roman" w:cs="Times New Roman"/>
              </w:rPr>
              <w:t>S</w:t>
            </w:r>
            <w:r w:rsidR="00601248">
              <w:rPr>
                <w:rFonts w:ascii="Times New Roman" w:hAnsi="Times New Roman" w:cs="Times New Roman"/>
              </w:rPr>
              <w:t xml:space="preserve">election criteria will be applied as published.  </w:t>
            </w:r>
          </w:p>
          <w:p w:rsidR="009C6E16" w:rsidRDefault="009C6E16" w:rsidP="00061667">
            <w:pPr>
              <w:pStyle w:val="PlainText"/>
              <w:jc w:val="both"/>
              <w:rPr>
                <w:rFonts w:ascii="Times New Roman" w:hAnsi="Times New Roman" w:cs="Times New Roman"/>
              </w:rPr>
            </w:pPr>
          </w:p>
          <w:p w:rsidR="009C6E16" w:rsidRDefault="009C6E16" w:rsidP="00061667">
            <w:pPr>
              <w:pStyle w:val="PlainText"/>
              <w:jc w:val="both"/>
              <w:rPr>
                <w:rFonts w:ascii="Times New Roman" w:hAnsi="Times New Roman" w:cs="Times New Roman"/>
              </w:rPr>
            </w:pPr>
          </w:p>
          <w:p w:rsidR="009C6E16" w:rsidRDefault="009C6E16" w:rsidP="00061667">
            <w:pPr>
              <w:pStyle w:val="PlainText"/>
              <w:jc w:val="both"/>
              <w:rPr>
                <w:rFonts w:ascii="Times New Roman" w:hAnsi="Times New Roman" w:cs="Times New Roman"/>
              </w:rPr>
            </w:pPr>
          </w:p>
          <w:p w:rsidR="002F0F09" w:rsidRDefault="002F0F09" w:rsidP="00061667">
            <w:pPr>
              <w:pStyle w:val="PlainText"/>
              <w:jc w:val="both"/>
              <w:rPr>
                <w:rFonts w:ascii="Times New Roman" w:hAnsi="Times New Roman" w:cs="Times New Roman"/>
                <w:szCs w:val="22"/>
              </w:rPr>
            </w:pPr>
          </w:p>
          <w:p w:rsidR="002F0F09" w:rsidRDefault="002F0F09" w:rsidP="00061667">
            <w:pPr>
              <w:pStyle w:val="PlainText"/>
              <w:jc w:val="both"/>
              <w:rPr>
                <w:rFonts w:ascii="Times New Roman" w:hAnsi="Times New Roman" w:cs="Times New Roman"/>
                <w:szCs w:val="22"/>
              </w:rPr>
            </w:pPr>
          </w:p>
          <w:p w:rsidR="00D82763" w:rsidRPr="00364915" w:rsidRDefault="00D82763" w:rsidP="00061667">
            <w:pPr>
              <w:pStyle w:val="PlainText"/>
              <w:jc w:val="both"/>
              <w:rPr>
                <w:rFonts w:ascii="Times New Roman" w:hAnsi="Times New Roman" w:cs="Times New Roman"/>
                <w:szCs w:val="22"/>
              </w:rPr>
            </w:pPr>
          </w:p>
        </w:tc>
      </w:tr>
      <w:tr w:rsidR="00863E23" w:rsidRPr="00020F46" w:rsidTr="00DA73E8">
        <w:trPr>
          <w:trHeight w:val="4490"/>
        </w:trPr>
        <w:tc>
          <w:tcPr>
            <w:tcW w:w="551" w:type="dxa"/>
          </w:tcPr>
          <w:p w:rsidR="00863E23" w:rsidRPr="00E60206" w:rsidRDefault="00863E23" w:rsidP="00020F46">
            <w:pPr>
              <w:rPr>
                <w:rFonts w:ascii="Times New Roman" w:hAnsi="Times New Roman" w:cs="Times New Roman"/>
                <w:sz w:val="22"/>
                <w:szCs w:val="22"/>
                <w:lang w:val="en-GB"/>
              </w:rPr>
            </w:pPr>
            <w:r w:rsidRPr="00E60206">
              <w:rPr>
                <w:rFonts w:ascii="Times New Roman" w:hAnsi="Times New Roman" w:cs="Times New Roman"/>
                <w:sz w:val="22"/>
                <w:szCs w:val="22"/>
                <w:lang w:val="en-GB"/>
              </w:rPr>
              <w:t>4.</w:t>
            </w:r>
          </w:p>
        </w:tc>
        <w:tc>
          <w:tcPr>
            <w:tcW w:w="4327" w:type="dxa"/>
          </w:tcPr>
          <w:p w:rsidR="00DA73E8" w:rsidRPr="00DA73E8" w:rsidRDefault="00863E23" w:rsidP="00DA73E8">
            <w:pPr>
              <w:pStyle w:val="Default"/>
              <w:jc w:val="both"/>
              <w:rPr>
                <w:rFonts w:ascii="Times New Roman" w:hAnsi="Times New Roman" w:cs="Times New Roman"/>
                <w:sz w:val="22"/>
                <w:szCs w:val="22"/>
              </w:rPr>
            </w:pPr>
            <w:r w:rsidRPr="00DA73E8">
              <w:rPr>
                <w:rFonts w:ascii="Times New Roman" w:hAnsi="Times New Roman" w:cs="Times New Roman"/>
                <w:sz w:val="22"/>
                <w:szCs w:val="22"/>
              </w:rPr>
              <w:t>Point 21.3 b) of the Service Contract Notice states: “The candidate has provided services under at least one contract (with the proportion of the contract carried out by the legal entity being at least EUR 1.000.000, 00) which includes capacity building of public institutions in the preparation of major infrastructure projects…“</w:t>
            </w:r>
          </w:p>
          <w:p w:rsidR="00863E23" w:rsidRPr="00CB1EAB" w:rsidRDefault="001D0274" w:rsidP="00DA73E8">
            <w:pPr>
              <w:pStyle w:val="Default"/>
              <w:jc w:val="both"/>
              <w:rPr>
                <w:rFonts w:ascii="Times New Roman" w:hAnsi="Times New Roman" w:cs="Times New Roman"/>
                <w:sz w:val="22"/>
                <w:szCs w:val="22"/>
              </w:rPr>
            </w:pPr>
            <w:r w:rsidRPr="00CB1EAB">
              <w:rPr>
                <w:rFonts w:ascii="Times New Roman" w:hAnsi="Times New Roman" w:cs="Times New Roman"/>
                <w:sz w:val="22"/>
                <w:szCs w:val="22"/>
              </w:rPr>
              <w:t xml:space="preserve">a) </w:t>
            </w:r>
            <w:r w:rsidR="00863E23" w:rsidRPr="00CB1EAB">
              <w:rPr>
                <w:rFonts w:ascii="Times New Roman" w:hAnsi="Times New Roman" w:cs="Times New Roman"/>
                <w:sz w:val="22"/>
                <w:szCs w:val="22"/>
              </w:rPr>
              <w:t>Could you, please, clarify which institutions are being categorized as public institutions? For example, are public enterprises, utility companies owned by municipalities/state, being considered as public institutions?</w:t>
            </w:r>
          </w:p>
          <w:p w:rsidR="00863E23" w:rsidRPr="00DA73E8" w:rsidRDefault="001D0274" w:rsidP="00DA73E8">
            <w:pPr>
              <w:pStyle w:val="Default"/>
              <w:jc w:val="both"/>
              <w:rPr>
                <w:rFonts w:ascii="Times New Roman" w:hAnsi="Times New Roman" w:cs="Times New Roman"/>
                <w:sz w:val="22"/>
                <w:szCs w:val="22"/>
              </w:rPr>
            </w:pPr>
            <w:r w:rsidRPr="00DA73E8">
              <w:rPr>
                <w:rFonts w:ascii="Times New Roman" w:hAnsi="Times New Roman" w:cs="Times New Roman"/>
                <w:sz w:val="22"/>
                <w:szCs w:val="22"/>
              </w:rPr>
              <w:t xml:space="preserve">b) </w:t>
            </w:r>
            <w:r w:rsidR="00863E23" w:rsidRPr="00DA73E8">
              <w:rPr>
                <w:rFonts w:ascii="Times New Roman" w:hAnsi="Times New Roman" w:cs="Times New Roman"/>
                <w:sz w:val="22"/>
                <w:szCs w:val="22"/>
              </w:rPr>
              <w:t>Could you, please, clarify if project satisfying given budget and timeframe will be considered as eligible if, through such project, the overall capacities of a public institution in charge of major infrastructure projects were built?</w:t>
            </w:r>
          </w:p>
          <w:p w:rsidR="00DA73E8" w:rsidRPr="00DA73E8" w:rsidRDefault="00DA73E8" w:rsidP="00DA73E8">
            <w:pPr>
              <w:pStyle w:val="Default"/>
              <w:jc w:val="both"/>
              <w:rPr>
                <w:rFonts w:ascii="Times New Roman" w:hAnsi="Times New Roman" w:cs="Times New Roman"/>
                <w:sz w:val="22"/>
                <w:szCs w:val="22"/>
              </w:rPr>
            </w:pPr>
          </w:p>
        </w:tc>
        <w:tc>
          <w:tcPr>
            <w:tcW w:w="4468" w:type="dxa"/>
          </w:tcPr>
          <w:p w:rsidR="0002162E" w:rsidRPr="00CB1EAB" w:rsidRDefault="001D0274" w:rsidP="001D0274">
            <w:pPr>
              <w:pStyle w:val="PlainText"/>
              <w:jc w:val="both"/>
              <w:rPr>
                <w:rFonts w:ascii="Times New Roman" w:hAnsi="Times New Roman" w:cs="Times New Roman"/>
                <w:szCs w:val="22"/>
              </w:rPr>
            </w:pPr>
            <w:r>
              <w:rPr>
                <w:rFonts w:ascii="Times New Roman" w:hAnsi="Times New Roman" w:cs="Times New Roman"/>
                <w:szCs w:val="22"/>
              </w:rPr>
              <w:t xml:space="preserve">a) </w:t>
            </w:r>
            <w:r w:rsidR="00583558">
              <w:rPr>
                <w:rFonts w:ascii="Times New Roman" w:hAnsi="Times New Roman" w:cs="Times New Roman"/>
                <w:szCs w:val="22"/>
              </w:rPr>
              <w:t xml:space="preserve">In the context </w:t>
            </w:r>
            <w:r w:rsidR="00332B45">
              <w:rPr>
                <w:rFonts w:ascii="Times New Roman" w:hAnsi="Times New Roman" w:cs="Times New Roman"/>
                <w:szCs w:val="22"/>
              </w:rPr>
              <w:t>of this Contract Notice,</w:t>
            </w:r>
            <w:r w:rsidR="0002162E">
              <w:rPr>
                <w:rFonts w:ascii="Times New Roman" w:hAnsi="Times New Roman" w:cs="Times New Roman"/>
                <w:szCs w:val="22"/>
              </w:rPr>
              <w:t xml:space="preserve"> </w:t>
            </w:r>
            <w:r w:rsidR="0002162E" w:rsidRPr="00CB1EAB">
              <w:rPr>
                <w:rFonts w:ascii="Times New Roman" w:hAnsi="Times New Roman" w:cs="Times New Roman"/>
                <w:szCs w:val="22"/>
              </w:rPr>
              <w:t>public institution means public entities or bodies at national, regional or local level.</w:t>
            </w:r>
            <w:r w:rsidR="00AA1FF4" w:rsidRPr="00CB1EAB">
              <w:rPr>
                <w:rFonts w:ascii="Times New Roman" w:hAnsi="Times New Roman" w:cs="Times New Roman"/>
                <w:szCs w:val="22"/>
              </w:rPr>
              <w:t xml:space="preserve"> </w:t>
            </w:r>
          </w:p>
          <w:p w:rsidR="00BB657B" w:rsidRDefault="00332B45" w:rsidP="00DA73E8">
            <w:pPr>
              <w:pStyle w:val="PlainText"/>
              <w:jc w:val="both"/>
              <w:rPr>
                <w:rFonts w:ascii="Times New Roman" w:hAnsi="Times New Roman" w:cs="Times New Roman"/>
                <w:szCs w:val="22"/>
              </w:rPr>
            </w:pPr>
            <w:r>
              <w:rPr>
                <w:rFonts w:ascii="Times New Roman" w:hAnsi="Times New Roman" w:cs="Times New Roman"/>
                <w:szCs w:val="22"/>
              </w:rPr>
              <w:t xml:space="preserve"> </w:t>
            </w:r>
          </w:p>
          <w:p w:rsidR="00266321" w:rsidRPr="006072CD" w:rsidRDefault="001D0274" w:rsidP="00DA73E8">
            <w:pPr>
              <w:pStyle w:val="PlainText"/>
              <w:jc w:val="both"/>
              <w:rPr>
                <w:rFonts w:ascii="Times New Roman" w:hAnsi="Times New Roman" w:cs="Times New Roman"/>
                <w:szCs w:val="22"/>
              </w:rPr>
            </w:pPr>
            <w:r>
              <w:rPr>
                <w:rFonts w:ascii="Times New Roman" w:hAnsi="Times New Roman" w:cs="Times New Roman"/>
              </w:rPr>
              <w:t xml:space="preserve">b) </w:t>
            </w:r>
            <w:r w:rsidR="00266321" w:rsidRPr="00266321">
              <w:rPr>
                <w:rFonts w:ascii="Times New Roman" w:hAnsi="Times New Roman" w:cs="Times New Roman"/>
                <w:szCs w:val="22"/>
              </w:rPr>
              <w:t xml:space="preserve">Please note that in line with </w:t>
            </w:r>
            <w:r w:rsidR="00CE5621">
              <w:rPr>
                <w:rFonts w:ascii="Times New Roman" w:hAnsi="Times New Roman" w:cs="Times New Roman"/>
                <w:szCs w:val="22"/>
              </w:rPr>
              <w:t xml:space="preserve">the </w:t>
            </w:r>
            <w:r w:rsidR="00980DE6">
              <w:rPr>
                <w:rFonts w:ascii="Times New Roman" w:hAnsi="Times New Roman" w:cs="Times New Roman"/>
              </w:rPr>
              <w:t>s</w:t>
            </w:r>
            <w:r w:rsidR="000C70D8">
              <w:rPr>
                <w:rFonts w:ascii="Times New Roman" w:hAnsi="Times New Roman" w:cs="Times New Roman"/>
                <w:szCs w:val="22"/>
              </w:rPr>
              <w:t>ub-s</w:t>
            </w:r>
            <w:r w:rsidR="00266321" w:rsidRPr="00266321">
              <w:rPr>
                <w:rFonts w:ascii="Times New Roman" w:hAnsi="Times New Roman" w:cs="Times New Roman"/>
                <w:szCs w:val="22"/>
              </w:rPr>
              <w:t>ection</w:t>
            </w:r>
            <w:r w:rsidR="00DA73E8">
              <w:rPr>
                <w:rFonts w:ascii="Times New Roman" w:hAnsi="Times New Roman" w:cs="Times New Roman"/>
                <w:szCs w:val="22"/>
              </w:rPr>
              <w:t xml:space="preserve"> 3.3.1.2 </w:t>
            </w:r>
            <w:r w:rsidR="00F30D35" w:rsidRPr="006072CD">
              <w:rPr>
                <w:rFonts w:ascii="Times New Roman" w:hAnsi="Times New Roman" w:cs="Times New Roman"/>
                <w:szCs w:val="22"/>
              </w:rPr>
              <w:t xml:space="preserve">of </w:t>
            </w:r>
            <w:r w:rsidR="00266321">
              <w:rPr>
                <w:rFonts w:ascii="Times New Roman" w:hAnsi="Times New Roman" w:cs="Times New Roman"/>
                <w:szCs w:val="22"/>
              </w:rPr>
              <w:t xml:space="preserve">the </w:t>
            </w:r>
            <w:r w:rsidR="00F30D35" w:rsidRPr="006072CD">
              <w:rPr>
                <w:rFonts w:ascii="Times New Roman" w:hAnsi="Times New Roman" w:cs="Times New Roman"/>
                <w:szCs w:val="22"/>
              </w:rPr>
              <w:t>PRAG</w:t>
            </w:r>
            <w:r w:rsidR="00E20A99">
              <w:rPr>
                <w:rFonts w:ascii="Times New Roman" w:hAnsi="Times New Roman" w:cs="Times New Roman"/>
              </w:rPr>
              <w:t xml:space="preserve">, </w:t>
            </w:r>
            <w:r w:rsidR="000C70D8" w:rsidRPr="000C70D8">
              <w:rPr>
                <w:rFonts w:ascii="Times New Roman" w:hAnsi="Times New Roman" w:cs="Times New Roman"/>
                <w:szCs w:val="22"/>
              </w:rPr>
              <w:t xml:space="preserve">the contracting authority cannot give an </w:t>
            </w:r>
            <w:r w:rsidR="000C70D8">
              <w:rPr>
                <w:rFonts w:ascii="Times New Roman" w:hAnsi="Times New Roman" w:cs="Times New Roman"/>
                <w:szCs w:val="22"/>
              </w:rPr>
              <w:t xml:space="preserve">opinion on the assessment </w:t>
            </w:r>
            <w:r w:rsidR="00980DE6">
              <w:rPr>
                <w:rFonts w:ascii="Times New Roman" w:hAnsi="Times New Roman" w:cs="Times New Roman"/>
              </w:rPr>
              <w:t>of any</w:t>
            </w:r>
            <w:r w:rsidR="000C70D8">
              <w:rPr>
                <w:rFonts w:ascii="Times New Roman" w:hAnsi="Times New Roman" w:cs="Times New Roman"/>
                <w:szCs w:val="22"/>
              </w:rPr>
              <w:t xml:space="preserve"> </w:t>
            </w:r>
            <w:r>
              <w:rPr>
                <w:rFonts w:ascii="Times New Roman" w:hAnsi="Times New Roman" w:cs="Times New Roman"/>
              </w:rPr>
              <w:t xml:space="preserve">aspect of </w:t>
            </w:r>
            <w:r w:rsidR="00980DE6">
              <w:rPr>
                <w:rFonts w:ascii="Times New Roman" w:hAnsi="Times New Roman" w:cs="Times New Roman"/>
              </w:rPr>
              <w:t xml:space="preserve">application, </w:t>
            </w:r>
            <w:r>
              <w:rPr>
                <w:rFonts w:ascii="Times New Roman" w:hAnsi="Times New Roman" w:cs="Times New Roman"/>
              </w:rPr>
              <w:t xml:space="preserve">bearing in mind that the section 3.3.2 of </w:t>
            </w:r>
            <w:r w:rsidR="00E20A99">
              <w:rPr>
                <w:rFonts w:ascii="Times New Roman" w:hAnsi="Times New Roman" w:cs="Times New Roman"/>
              </w:rPr>
              <w:t xml:space="preserve">the </w:t>
            </w:r>
            <w:r>
              <w:rPr>
                <w:rFonts w:ascii="Times New Roman" w:hAnsi="Times New Roman" w:cs="Times New Roman"/>
              </w:rPr>
              <w:t xml:space="preserve">PRAG </w:t>
            </w:r>
            <w:r w:rsidR="00E20A99">
              <w:rPr>
                <w:rFonts w:ascii="Times New Roman" w:hAnsi="Times New Roman" w:cs="Times New Roman"/>
              </w:rPr>
              <w:t>assigns</w:t>
            </w:r>
            <w:r>
              <w:rPr>
                <w:rFonts w:ascii="Times New Roman" w:hAnsi="Times New Roman" w:cs="Times New Roman"/>
              </w:rPr>
              <w:t xml:space="preserve"> responsibility</w:t>
            </w:r>
            <w:r w:rsidR="00DA73E8">
              <w:rPr>
                <w:rFonts w:ascii="Times New Roman" w:hAnsi="Times New Roman" w:cs="Times New Roman"/>
              </w:rPr>
              <w:t xml:space="preserve"> </w:t>
            </w:r>
            <w:r>
              <w:rPr>
                <w:rFonts w:ascii="Times New Roman" w:hAnsi="Times New Roman" w:cs="Times New Roman"/>
              </w:rPr>
              <w:t xml:space="preserve">exclusively to the Evaluation Committee. </w:t>
            </w:r>
          </w:p>
        </w:tc>
      </w:tr>
      <w:tr w:rsidR="00F30D35" w:rsidRPr="00020F46" w:rsidTr="00DA73E8">
        <w:trPr>
          <w:trHeight w:val="4490"/>
        </w:trPr>
        <w:tc>
          <w:tcPr>
            <w:tcW w:w="551" w:type="dxa"/>
          </w:tcPr>
          <w:p w:rsidR="00F30D35" w:rsidRPr="00E60206" w:rsidRDefault="00F30D35" w:rsidP="00020F46">
            <w:pPr>
              <w:rPr>
                <w:rFonts w:ascii="Times New Roman" w:hAnsi="Times New Roman" w:cs="Times New Roman"/>
                <w:sz w:val="22"/>
                <w:szCs w:val="22"/>
                <w:lang w:val="en-GB"/>
              </w:rPr>
            </w:pPr>
            <w:r w:rsidRPr="00E60206">
              <w:rPr>
                <w:rFonts w:ascii="Times New Roman" w:hAnsi="Times New Roman" w:cs="Times New Roman"/>
                <w:sz w:val="22"/>
                <w:szCs w:val="22"/>
                <w:lang w:val="en-GB"/>
              </w:rPr>
              <w:lastRenderedPageBreak/>
              <w:t>5.</w:t>
            </w:r>
          </w:p>
        </w:tc>
        <w:tc>
          <w:tcPr>
            <w:tcW w:w="4327" w:type="dxa"/>
          </w:tcPr>
          <w:p w:rsidR="00F30D35" w:rsidRPr="00DA73E8" w:rsidRDefault="00F30D35" w:rsidP="00364915">
            <w:pPr>
              <w:pStyle w:val="Default"/>
              <w:jc w:val="both"/>
              <w:rPr>
                <w:rFonts w:ascii="Times New Roman" w:hAnsi="Times New Roman" w:cs="Times New Roman"/>
                <w:sz w:val="22"/>
                <w:szCs w:val="22"/>
              </w:rPr>
            </w:pPr>
            <w:r w:rsidRPr="00DA73E8">
              <w:rPr>
                <w:rFonts w:ascii="Times New Roman" w:hAnsi="Times New Roman" w:cs="Times New Roman"/>
                <w:sz w:val="22"/>
                <w:szCs w:val="22"/>
              </w:rPr>
              <w:t>Point 21.3 a) of the Service Contract Notice states: „The candidate has provided services under at least one contract (with the proportion of the contract carried out by the legal entity being at least EUR 2.750.000,00) which includes preparation of major infrastructure projects in the energy and/or environment sectors…“</w:t>
            </w:r>
          </w:p>
          <w:p w:rsidR="00E20A99" w:rsidRPr="00DA73E8" w:rsidRDefault="00E20A99" w:rsidP="00DA73E8">
            <w:pPr>
              <w:pStyle w:val="Default"/>
              <w:jc w:val="both"/>
              <w:rPr>
                <w:rFonts w:ascii="Times New Roman" w:hAnsi="Times New Roman" w:cs="Times New Roman"/>
                <w:sz w:val="22"/>
                <w:szCs w:val="22"/>
              </w:rPr>
            </w:pPr>
          </w:p>
          <w:p w:rsidR="00F30D35" w:rsidRPr="00DA73E8" w:rsidRDefault="00F30D35" w:rsidP="00DA73E8">
            <w:pPr>
              <w:pStyle w:val="Default"/>
              <w:jc w:val="both"/>
              <w:rPr>
                <w:rFonts w:ascii="Times New Roman" w:hAnsi="Times New Roman" w:cs="Times New Roman"/>
                <w:sz w:val="22"/>
                <w:szCs w:val="22"/>
              </w:rPr>
            </w:pPr>
            <w:r w:rsidRPr="00DA73E8">
              <w:rPr>
                <w:rFonts w:ascii="Times New Roman" w:hAnsi="Times New Roman" w:cs="Times New Roman"/>
                <w:sz w:val="22"/>
                <w:szCs w:val="22"/>
              </w:rPr>
              <w:t xml:space="preserve">Could you, please clarify if the infrastructure projects in other fields, for example </w:t>
            </w:r>
            <w:r w:rsidR="00E20A99" w:rsidRPr="00DA73E8">
              <w:rPr>
                <w:rFonts w:ascii="Times New Roman" w:hAnsi="Times New Roman" w:cs="Times New Roman"/>
                <w:sz w:val="22"/>
                <w:szCs w:val="22"/>
              </w:rPr>
              <w:t>transport</w:t>
            </w:r>
            <w:r w:rsidRPr="00DA73E8">
              <w:rPr>
                <w:rFonts w:ascii="Times New Roman" w:hAnsi="Times New Roman" w:cs="Times New Roman"/>
                <w:sz w:val="22"/>
                <w:szCs w:val="22"/>
              </w:rPr>
              <w:t xml:space="preserve">, that had activities related to </w:t>
            </w:r>
            <w:r w:rsidR="00E20A99" w:rsidRPr="00DA73E8">
              <w:rPr>
                <w:rFonts w:ascii="Times New Roman" w:hAnsi="Times New Roman" w:cs="Times New Roman"/>
                <w:sz w:val="22"/>
                <w:szCs w:val="22"/>
              </w:rPr>
              <w:t>environment</w:t>
            </w:r>
            <w:r w:rsidRPr="00DA73E8">
              <w:rPr>
                <w:rFonts w:ascii="Times New Roman" w:hAnsi="Times New Roman" w:cs="Times New Roman"/>
                <w:sz w:val="22"/>
                <w:szCs w:val="22"/>
              </w:rPr>
              <w:t xml:space="preserve"> protection will be considered as eligible, under the assumption that the projects are satisfying given budget and timeframe?</w:t>
            </w:r>
          </w:p>
        </w:tc>
        <w:tc>
          <w:tcPr>
            <w:tcW w:w="4468" w:type="dxa"/>
          </w:tcPr>
          <w:p w:rsidR="00E20A99" w:rsidRDefault="00E20A99" w:rsidP="00E20A99">
            <w:pPr>
              <w:pStyle w:val="PlainText"/>
              <w:jc w:val="both"/>
              <w:rPr>
                <w:rFonts w:ascii="Times New Roman" w:hAnsi="Times New Roman" w:cs="Times New Roman"/>
                <w:szCs w:val="22"/>
              </w:rPr>
            </w:pPr>
            <w:r>
              <w:rPr>
                <w:rFonts w:ascii="Times New Roman" w:hAnsi="Times New Roman" w:cs="Times New Roman"/>
                <w:szCs w:val="22"/>
              </w:rPr>
              <w:t xml:space="preserve">Item 21, point 3 (a) explicitly refers only to major infrastructure project in the energy and/or environment sector. </w:t>
            </w:r>
          </w:p>
          <w:p w:rsidR="00E20A99" w:rsidRDefault="00E20A99" w:rsidP="00E20A99">
            <w:pPr>
              <w:pStyle w:val="PlainText"/>
              <w:jc w:val="both"/>
              <w:rPr>
                <w:rFonts w:ascii="Times New Roman" w:hAnsi="Times New Roman" w:cs="Times New Roman"/>
                <w:szCs w:val="22"/>
              </w:rPr>
            </w:pPr>
            <w:r w:rsidRPr="00266321">
              <w:rPr>
                <w:rFonts w:ascii="Times New Roman" w:hAnsi="Times New Roman" w:cs="Times New Roman"/>
                <w:szCs w:val="22"/>
              </w:rPr>
              <w:t xml:space="preserve">Please note that in line with </w:t>
            </w:r>
            <w:r>
              <w:rPr>
                <w:rFonts w:ascii="Times New Roman" w:hAnsi="Times New Roman" w:cs="Times New Roman"/>
                <w:szCs w:val="22"/>
              </w:rPr>
              <w:t xml:space="preserve">the </w:t>
            </w:r>
            <w:r>
              <w:rPr>
                <w:rFonts w:ascii="Times New Roman" w:hAnsi="Times New Roman" w:cs="Times New Roman"/>
              </w:rPr>
              <w:t>s</w:t>
            </w:r>
            <w:r>
              <w:rPr>
                <w:rFonts w:ascii="Times New Roman" w:hAnsi="Times New Roman" w:cs="Times New Roman"/>
                <w:szCs w:val="22"/>
              </w:rPr>
              <w:t>ub-s</w:t>
            </w:r>
            <w:r w:rsidRPr="00266321">
              <w:rPr>
                <w:rFonts w:ascii="Times New Roman" w:hAnsi="Times New Roman" w:cs="Times New Roman"/>
                <w:szCs w:val="22"/>
              </w:rPr>
              <w:t>ection</w:t>
            </w:r>
            <w:r>
              <w:rPr>
                <w:rFonts w:ascii="Times New Roman" w:hAnsi="Times New Roman" w:cs="Times New Roman"/>
                <w:szCs w:val="22"/>
              </w:rPr>
              <w:t xml:space="preserve"> 3.3.1.2 </w:t>
            </w:r>
            <w:r w:rsidRPr="006072CD">
              <w:rPr>
                <w:rFonts w:ascii="Times New Roman" w:hAnsi="Times New Roman" w:cs="Times New Roman"/>
                <w:szCs w:val="22"/>
              </w:rPr>
              <w:t xml:space="preserve">  of </w:t>
            </w:r>
            <w:r>
              <w:rPr>
                <w:rFonts w:ascii="Times New Roman" w:hAnsi="Times New Roman" w:cs="Times New Roman"/>
                <w:szCs w:val="22"/>
              </w:rPr>
              <w:t xml:space="preserve">the </w:t>
            </w:r>
            <w:r w:rsidRPr="006072CD">
              <w:rPr>
                <w:rFonts w:ascii="Times New Roman" w:hAnsi="Times New Roman" w:cs="Times New Roman"/>
                <w:szCs w:val="22"/>
              </w:rPr>
              <w:t>PRAG</w:t>
            </w:r>
            <w:r w:rsidR="00F715B6">
              <w:rPr>
                <w:rFonts w:ascii="Times New Roman" w:hAnsi="Times New Roman" w:cs="Times New Roman"/>
                <w:szCs w:val="22"/>
              </w:rPr>
              <w:t>, the</w:t>
            </w:r>
            <w:r w:rsidRPr="000C70D8">
              <w:rPr>
                <w:rFonts w:ascii="Times New Roman" w:hAnsi="Times New Roman" w:cs="Times New Roman"/>
                <w:szCs w:val="22"/>
              </w:rPr>
              <w:t xml:space="preserve"> contracting authority cannot give an </w:t>
            </w:r>
            <w:r>
              <w:rPr>
                <w:rFonts w:ascii="Times New Roman" w:hAnsi="Times New Roman" w:cs="Times New Roman"/>
                <w:szCs w:val="22"/>
              </w:rPr>
              <w:t xml:space="preserve">opinion on the assessment </w:t>
            </w:r>
            <w:r>
              <w:rPr>
                <w:rFonts w:ascii="Times New Roman" w:hAnsi="Times New Roman" w:cs="Times New Roman"/>
              </w:rPr>
              <w:t>of any</w:t>
            </w:r>
            <w:r>
              <w:rPr>
                <w:rFonts w:ascii="Times New Roman" w:hAnsi="Times New Roman" w:cs="Times New Roman"/>
                <w:szCs w:val="22"/>
              </w:rPr>
              <w:t xml:space="preserve"> </w:t>
            </w:r>
            <w:r>
              <w:rPr>
                <w:rFonts w:ascii="Times New Roman" w:hAnsi="Times New Roman" w:cs="Times New Roman"/>
              </w:rPr>
              <w:t>aspect of application, bearing in mind that the section 3.3.2 of PRAG assigns responsibility exclusively to the Evaluation Committee.</w:t>
            </w:r>
          </w:p>
        </w:tc>
      </w:tr>
    </w:tbl>
    <w:p w:rsidR="004B124A" w:rsidRPr="00FB633B" w:rsidRDefault="004B124A" w:rsidP="0012304A">
      <w:pPr>
        <w:rPr>
          <w:b/>
          <w:lang w:val="en-GB"/>
        </w:rPr>
      </w:pPr>
    </w:p>
    <w:sectPr w:rsidR="004B124A" w:rsidRPr="00FB633B" w:rsidSect="003667A9">
      <w:footerReference w:type="default" r:id="rId9"/>
      <w:pgSz w:w="11909" w:h="16834" w:code="9"/>
      <w:pgMar w:top="1008" w:right="1419"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7E" w:rsidRDefault="002E667E" w:rsidP="00345E95">
      <w:r>
        <w:separator/>
      </w:r>
    </w:p>
  </w:endnote>
  <w:endnote w:type="continuationSeparator" w:id="0">
    <w:p w:rsidR="002E667E" w:rsidRDefault="002E667E" w:rsidP="003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95" w:rsidRPr="00345E95" w:rsidRDefault="00345E95">
    <w:pPr>
      <w:pStyle w:val="Footer"/>
      <w:rPr>
        <w:sz w:val="22"/>
        <w:szCs w:val="22"/>
      </w:rPr>
    </w:pPr>
    <w:r w:rsidRPr="00345E95">
      <w:rPr>
        <w:sz w:val="22"/>
        <w:szCs w:val="22"/>
      </w:rPr>
      <w:t>E</w:t>
    </w:r>
    <w:r w:rsidR="006D2BD0">
      <w:rPr>
        <w:sz w:val="22"/>
        <w:szCs w:val="22"/>
      </w:rPr>
      <w:t>uropeAid/135637</w:t>
    </w:r>
    <w:r w:rsidRPr="00345E95">
      <w:rPr>
        <w:sz w:val="22"/>
        <w:szCs w:val="22"/>
      </w:rPr>
      <w:t>/IH/SER/RS</w:t>
    </w:r>
  </w:p>
  <w:p w:rsidR="00345E95" w:rsidRDefault="0034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7E" w:rsidRDefault="002E667E" w:rsidP="00345E95">
      <w:r>
        <w:separator/>
      </w:r>
    </w:p>
  </w:footnote>
  <w:footnote w:type="continuationSeparator" w:id="0">
    <w:p w:rsidR="002E667E" w:rsidRDefault="002E667E" w:rsidP="0034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46FE"/>
    <w:multiLevelType w:val="hybridMultilevel"/>
    <w:tmpl w:val="E09C84A0"/>
    <w:lvl w:ilvl="0" w:tplc="C69E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904CFC"/>
    <w:multiLevelType w:val="hybridMultilevel"/>
    <w:tmpl w:val="301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6641C6"/>
    <w:multiLevelType w:val="hybridMultilevel"/>
    <w:tmpl w:val="051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02F24"/>
    <w:multiLevelType w:val="hybridMultilevel"/>
    <w:tmpl w:val="082E0F30"/>
    <w:lvl w:ilvl="0" w:tplc="9048958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6A48223A"/>
    <w:multiLevelType w:val="hybridMultilevel"/>
    <w:tmpl w:val="7F2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D7D71"/>
    <w:multiLevelType w:val="hybridMultilevel"/>
    <w:tmpl w:val="D0D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F"/>
    <w:rsid w:val="0000480C"/>
    <w:rsid w:val="00020F46"/>
    <w:rsid w:val="000212F0"/>
    <w:rsid w:val="0002146F"/>
    <w:rsid w:val="0002162E"/>
    <w:rsid w:val="00022812"/>
    <w:rsid w:val="00025EFB"/>
    <w:rsid w:val="0003040F"/>
    <w:rsid w:val="00036D72"/>
    <w:rsid w:val="0004188B"/>
    <w:rsid w:val="00057F0E"/>
    <w:rsid w:val="00061667"/>
    <w:rsid w:val="00066C2C"/>
    <w:rsid w:val="000672CA"/>
    <w:rsid w:val="00072BA5"/>
    <w:rsid w:val="0008323B"/>
    <w:rsid w:val="00091587"/>
    <w:rsid w:val="00095B59"/>
    <w:rsid w:val="000A232B"/>
    <w:rsid w:val="000A6DBC"/>
    <w:rsid w:val="000B03FE"/>
    <w:rsid w:val="000B3623"/>
    <w:rsid w:val="000C020C"/>
    <w:rsid w:val="000C3C1A"/>
    <w:rsid w:val="000C5C50"/>
    <w:rsid w:val="000C7015"/>
    <w:rsid w:val="000C70D8"/>
    <w:rsid w:val="000D1426"/>
    <w:rsid w:val="000D14E9"/>
    <w:rsid w:val="000E3DEB"/>
    <w:rsid w:val="000E672B"/>
    <w:rsid w:val="000F41A9"/>
    <w:rsid w:val="000F5665"/>
    <w:rsid w:val="0010218F"/>
    <w:rsid w:val="001048EB"/>
    <w:rsid w:val="00105FA6"/>
    <w:rsid w:val="0011146B"/>
    <w:rsid w:val="001114FD"/>
    <w:rsid w:val="00117DDE"/>
    <w:rsid w:val="00121498"/>
    <w:rsid w:val="0012304A"/>
    <w:rsid w:val="00124453"/>
    <w:rsid w:val="00125575"/>
    <w:rsid w:val="00130CA7"/>
    <w:rsid w:val="00133A20"/>
    <w:rsid w:val="00144EB6"/>
    <w:rsid w:val="00172D11"/>
    <w:rsid w:val="00172E0D"/>
    <w:rsid w:val="00180CE9"/>
    <w:rsid w:val="00194D2B"/>
    <w:rsid w:val="001959C3"/>
    <w:rsid w:val="001A429B"/>
    <w:rsid w:val="001B24CD"/>
    <w:rsid w:val="001C17A5"/>
    <w:rsid w:val="001D0274"/>
    <w:rsid w:val="001D5604"/>
    <w:rsid w:val="001D5FBB"/>
    <w:rsid w:val="001D704F"/>
    <w:rsid w:val="001D7944"/>
    <w:rsid w:val="001E7469"/>
    <w:rsid w:val="002034C9"/>
    <w:rsid w:val="002106E7"/>
    <w:rsid w:val="002335E9"/>
    <w:rsid w:val="002349F9"/>
    <w:rsid w:val="00235DF4"/>
    <w:rsid w:val="002369A2"/>
    <w:rsid w:val="00245795"/>
    <w:rsid w:val="00247CDB"/>
    <w:rsid w:val="00250DDE"/>
    <w:rsid w:val="002625E9"/>
    <w:rsid w:val="002626F8"/>
    <w:rsid w:val="00263C8F"/>
    <w:rsid w:val="00266321"/>
    <w:rsid w:val="00287A05"/>
    <w:rsid w:val="002A367D"/>
    <w:rsid w:val="002A46D5"/>
    <w:rsid w:val="002A5145"/>
    <w:rsid w:val="002B2865"/>
    <w:rsid w:val="002B361A"/>
    <w:rsid w:val="002B5992"/>
    <w:rsid w:val="002C38B8"/>
    <w:rsid w:val="002D48E0"/>
    <w:rsid w:val="002E464E"/>
    <w:rsid w:val="002E667E"/>
    <w:rsid w:val="002F0F09"/>
    <w:rsid w:val="00302BAE"/>
    <w:rsid w:val="00304C45"/>
    <w:rsid w:val="0031749F"/>
    <w:rsid w:val="00320B58"/>
    <w:rsid w:val="0032531D"/>
    <w:rsid w:val="00332102"/>
    <w:rsid w:val="00332B45"/>
    <w:rsid w:val="00333A46"/>
    <w:rsid w:val="00345E95"/>
    <w:rsid w:val="00352F6B"/>
    <w:rsid w:val="00353A7D"/>
    <w:rsid w:val="00364915"/>
    <w:rsid w:val="003667A9"/>
    <w:rsid w:val="0036717E"/>
    <w:rsid w:val="00385906"/>
    <w:rsid w:val="00394253"/>
    <w:rsid w:val="003A1E3B"/>
    <w:rsid w:val="003A2936"/>
    <w:rsid w:val="003C00B8"/>
    <w:rsid w:val="003C6DCC"/>
    <w:rsid w:val="003D34B1"/>
    <w:rsid w:val="003E0817"/>
    <w:rsid w:val="003E0D59"/>
    <w:rsid w:val="003E18F0"/>
    <w:rsid w:val="003E5AEA"/>
    <w:rsid w:val="003F626C"/>
    <w:rsid w:val="00411435"/>
    <w:rsid w:val="00412470"/>
    <w:rsid w:val="004233F1"/>
    <w:rsid w:val="00426D37"/>
    <w:rsid w:val="004410D1"/>
    <w:rsid w:val="00445F2D"/>
    <w:rsid w:val="0045570C"/>
    <w:rsid w:val="00455D7A"/>
    <w:rsid w:val="004571E6"/>
    <w:rsid w:val="00463FB7"/>
    <w:rsid w:val="00470D3D"/>
    <w:rsid w:val="004716FC"/>
    <w:rsid w:val="00482A27"/>
    <w:rsid w:val="00494B40"/>
    <w:rsid w:val="004B1101"/>
    <w:rsid w:val="004B124A"/>
    <w:rsid w:val="004B74F6"/>
    <w:rsid w:val="004C0152"/>
    <w:rsid w:val="004C3328"/>
    <w:rsid w:val="004C3A5F"/>
    <w:rsid w:val="004C713B"/>
    <w:rsid w:val="004D7176"/>
    <w:rsid w:val="004E0050"/>
    <w:rsid w:val="004E498A"/>
    <w:rsid w:val="004E7AD5"/>
    <w:rsid w:val="004F3E4F"/>
    <w:rsid w:val="004F66DD"/>
    <w:rsid w:val="00504E38"/>
    <w:rsid w:val="0050649E"/>
    <w:rsid w:val="00506E0E"/>
    <w:rsid w:val="0052181B"/>
    <w:rsid w:val="0052710D"/>
    <w:rsid w:val="0053292B"/>
    <w:rsid w:val="0053724E"/>
    <w:rsid w:val="0054009E"/>
    <w:rsid w:val="00553F34"/>
    <w:rsid w:val="0056260C"/>
    <w:rsid w:val="005809B3"/>
    <w:rsid w:val="00583558"/>
    <w:rsid w:val="00593B62"/>
    <w:rsid w:val="0059456D"/>
    <w:rsid w:val="005957C4"/>
    <w:rsid w:val="00595F91"/>
    <w:rsid w:val="005A1234"/>
    <w:rsid w:val="005A55D9"/>
    <w:rsid w:val="005A6AB4"/>
    <w:rsid w:val="005B0121"/>
    <w:rsid w:val="005B4C42"/>
    <w:rsid w:val="005D2B21"/>
    <w:rsid w:val="005D37DD"/>
    <w:rsid w:val="005F2AC4"/>
    <w:rsid w:val="005F3011"/>
    <w:rsid w:val="005F54DA"/>
    <w:rsid w:val="00601248"/>
    <w:rsid w:val="006072CD"/>
    <w:rsid w:val="006101B7"/>
    <w:rsid w:val="00612B8C"/>
    <w:rsid w:val="00615142"/>
    <w:rsid w:val="00622099"/>
    <w:rsid w:val="00632D0F"/>
    <w:rsid w:val="0064364D"/>
    <w:rsid w:val="00645C0C"/>
    <w:rsid w:val="0064725C"/>
    <w:rsid w:val="006478BF"/>
    <w:rsid w:val="00647AD8"/>
    <w:rsid w:val="006548F3"/>
    <w:rsid w:val="00656C37"/>
    <w:rsid w:val="00670A9E"/>
    <w:rsid w:val="00695850"/>
    <w:rsid w:val="006B36F6"/>
    <w:rsid w:val="006C0EC4"/>
    <w:rsid w:val="006C3185"/>
    <w:rsid w:val="006C43BC"/>
    <w:rsid w:val="006D2BD0"/>
    <w:rsid w:val="006D476F"/>
    <w:rsid w:val="006E1146"/>
    <w:rsid w:val="006E1617"/>
    <w:rsid w:val="006E2779"/>
    <w:rsid w:val="006F0A83"/>
    <w:rsid w:val="006F1BE9"/>
    <w:rsid w:val="006F276F"/>
    <w:rsid w:val="00702E2E"/>
    <w:rsid w:val="00714996"/>
    <w:rsid w:val="00715741"/>
    <w:rsid w:val="00723B45"/>
    <w:rsid w:val="00733C39"/>
    <w:rsid w:val="007400D2"/>
    <w:rsid w:val="00740B9B"/>
    <w:rsid w:val="00746165"/>
    <w:rsid w:val="00752A3D"/>
    <w:rsid w:val="00754D98"/>
    <w:rsid w:val="007552BA"/>
    <w:rsid w:val="007609BB"/>
    <w:rsid w:val="00761527"/>
    <w:rsid w:val="007620F9"/>
    <w:rsid w:val="00762CAB"/>
    <w:rsid w:val="00762D8C"/>
    <w:rsid w:val="00796DE3"/>
    <w:rsid w:val="007A00BA"/>
    <w:rsid w:val="007A7B6E"/>
    <w:rsid w:val="007C19AF"/>
    <w:rsid w:val="007C3527"/>
    <w:rsid w:val="007C3AE4"/>
    <w:rsid w:val="007C5EC2"/>
    <w:rsid w:val="007D127F"/>
    <w:rsid w:val="007D51EA"/>
    <w:rsid w:val="007F089A"/>
    <w:rsid w:val="007F5B1F"/>
    <w:rsid w:val="008173A0"/>
    <w:rsid w:val="00817C26"/>
    <w:rsid w:val="00826463"/>
    <w:rsid w:val="00830493"/>
    <w:rsid w:val="00843ECE"/>
    <w:rsid w:val="00855131"/>
    <w:rsid w:val="008600D0"/>
    <w:rsid w:val="00860F11"/>
    <w:rsid w:val="00861936"/>
    <w:rsid w:val="00863E23"/>
    <w:rsid w:val="00881BBD"/>
    <w:rsid w:val="008828C1"/>
    <w:rsid w:val="00884D67"/>
    <w:rsid w:val="008963CA"/>
    <w:rsid w:val="00897C1E"/>
    <w:rsid w:val="008C0B5A"/>
    <w:rsid w:val="008C7586"/>
    <w:rsid w:val="008D2240"/>
    <w:rsid w:val="008D6E51"/>
    <w:rsid w:val="008E54D7"/>
    <w:rsid w:val="008E6EFF"/>
    <w:rsid w:val="008F0D65"/>
    <w:rsid w:val="008F7E80"/>
    <w:rsid w:val="009043DE"/>
    <w:rsid w:val="00905C98"/>
    <w:rsid w:val="00910DBF"/>
    <w:rsid w:val="00922807"/>
    <w:rsid w:val="009262AD"/>
    <w:rsid w:val="009331FD"/>
    <w:rsid w:val="00941F90"/>
    <w:rsid w:val="00954BF8"/>
    <w:rsid w:val="00961115"/>
    <w:rsid w:val="00975FE6"/>
    <w:rsid w:val="00977B20"/>
    <w:rsid w:val="00980DE6"/>
    <w:rsid w:val="00980ECE"/>
    <w:rsid w:val="0098319E"/>
    <w:rsid w:val="00991B56"/>
    <w:rsid w:val="00997CCB"/>
    <w:rsid w:val="009A1274"/>
    <w:rsid w:val="009C00E0"/>
    <w:rsid w:val="009C6E16"/>
    <w:rsid w:val="009D6C66"/>
    <w:rsid w:val="009E1AFE"/>
    <w:rsid w:val="009F40AA"/>
    <w:rsid w:val="009F6904"/>
    <w:rsid w:val="00A00ABB"/>
    <w:rsid w:val="00A07EDC"/>
    <w:rsid w:val="00A104FE"/>
    <w:rsid w:val="00A20ECF"/>
    <w:rsid w:val="00A85E81"/>
    <w:rsid w:val="00A92FD4"/>
    <w:rsid w:val="00A945DB"/>
    <w:rsid w:val="00A9613A"/>
    <w:rsid w:val="00A979CD"/>
    <w:rsid w:val="00AA1FF4"/>
    <w:rsid w:val="00AA2422"/>
    <w:rsid w:val="00AA476D"/>
    <w:rsid w:val="00AA7AE7"/>
    <w:rsid w:val="00AB3CE0"/>
    <w:rsid w:val="00AC5F14"/>
    <w:rsid w:val="00AD2D3B"/>
    <w:rsid w:val="00AD6607"/>
    <w:rsid w:val="00AF1DE3"/>
    <w:rsid w:val="00AF49EC"/>
    <w:rsid w:val="00B22325"/>
    <w:rsid w:val="00B4535D"/>
    <w:rsid w:val="00B543F6"/>
    <w:rsid w:val="00B6760F"/>
    <w:rsid w:val="00B67CBE"/>
    <w:rsid w:val="00B72246"/>
    <w:rsid w:val="00B770B7"/>
    <w:rsid w:val="00B77BE7"/>
    <w:rsid w:val="00B84F9A"/>
    <w:rsid w:val="00B9295E"/>
    <w:rsid w:val="00BA2005"/>
    <w:rsid w:val="00BB0EAF"/>
    <w:rsid w:val="00BB3E2F"/>
    <w:rsid w:val="00BB657B"/>
    <w:rsid w:val="00BC04D6"/>
    <w:rsid w:val="00BC4198"/>
    <w:rsid w:val="00BD34C2"/>
    <w:rsid w:val="00BD5FBD"/>
    <w:rsid w:val="00BE1A44"/>
    <w:rsid w:val="00BE7387"/>
    <w:rsid w:val="00BE73F7"/>
    <w:rsid w:val="00BF2361"/>
    <w:rsid w:val="00C02A4B"/>
    <w:rsid w:val="00C03A70"/>
    <w:rsid w:val="00C07289"/>
    <w:rsid w:val="00C16BD6"/>
    <w:rsid w:val="00C20295"/>
    <w:rsid w:val="00C20C6B"/>
    <w:rsid w:val="00C269C3"/>
    <w:rsid w:val="00C27D11"/>
    <w:rsid w:val="00C3270F"/>
    <w:rsid w:val="00C41A0F"/>
    <w:rsid w:val="00C43A80"/>
    <w:rsid w:val="00C54B49"/>
    <w:rsid w:val="00C57100"/>
    <w:rsid w:val="00C6300F"/>
    <w:rsid w:val="00C7493B"/>
    <w:rsid w:val="00C800BF"/>
    <w:rsid w:val="00C85392"/>
    <w:rsid w:val="00C91DAF"/>
    <w:rsid w:val="00C93703"/>
    <w:rsid w:val="00CA1C9C"/>
    <w:rsid w:val="00CB1EAB"/>
    <w:rsid w:val="00CB5A1B"/>
    <w:rsid w:val="00CC03CC"/>
    <w:rsid w:val="00CE000C"/>
    <w:rsid w:val="00CE5621"/>
    <w:rsid w:val="00CF0D9C"/>
    <w:rsid w:val="00D05508"/>
    <w:rsid w:val="00D1173D"/>
    <w:rsid w:val="00D14B0F"/>
    <w:rsid w:val="00D27CA7"/>
    <w:rsid w:val="00D35CEB"/>
    <w:rsid w:val="00D40EC1"/>
    <w:rsid w:val="00D434E3"/>
    <w:rsid w:val="00D523B4"/>
    <w:rsid w:val="00D54660"/>
    <w:rsid w:val="00D56A0C"/>
    <w:rsid w:val="00D56C46"/>
    <w:rsid w:val="00D62BA8"/>
    <w:rsid w:val="00D6487F"/>
    <w:rsid w:val="00D82632"/>
    <w:rsid w:val="00D82763"/>
    <w:rsid w:val="00D83497"/>
    <w:rsid w:val="00D85F16"/>
    <w:rsid w:val="00D917D9"/>
    <w:rsid w:val="00D94172"/>
    <w:rsid w:val="00D95F76"/>
    <w:rsid w:val="00D966CC"/>
    <w:rsid w:val="00DA73E8"/>
    <w:rsid w:val="00DB3D97"/>
    <w:rsid w:val="00DC0057"/>
    <w:rsid w:val="00DC7A97"/>
    <w:rsid w:val="00DD345E"/>
    <w:rsid w:val="00DE5ED6"/>
    <w:rsid w:val="00E069C1"/>
    <w:rsid w:val="00E17C18"/>
    <w:rsid w:val="00E20A99"/>
    <w:rsid w:val="00E2351B"/>
    <w:rsid w:val="00E240E6"/>
    <w:rsid w:val="00E26EB7"/>
    <w:rsid w:val="00E32CFC"/>
    <w:rsid w:val="00E46E6A"/>
    <w:rsid w:val="00E60206"/>
    <w:rsid w:val="00E622F2"/>
    <w:rsid w:val="00E62E2E"/>
    <w:rsid w:val="00E67ED5"/>
    <w:rsid w:val="00EA78AE"/>
    <w:rsid w:val="00EB2A31"/>
    <w:rsid w:val="00EB746A"/>
    <w:rsid w:val="00EC5184"/>
    <w:rsid w:val="00ED2C22"/>
    <w:rsid w:val="00EE25AD"/>
    <w:rsid w:val="00EF0943"/>
    <w:rsid w:val="00F01C67"/>
    <w:rsid w:val="00F024F7"/>
    <w:rsid w:val="00F05A3E"/>
    <w:rsid w:val="00F07FA0"/>
    <w:rsid w:val="00F11A0A"/>
    <w:rsid w:val="00F12788"/>
    <w:rsid w:val="00F136BE"/>
    <w:rsid w:val="00F13EF4"/>
    <w:rsid w:val="00F1641A"/>
    <w:rsid w:val="00F17F03"/>
    <w:rsid w:val="00F218F4"/>
    <w:rsid w:val="00F23F46"/>
    <w:rsid w:val="00F30D35"/>
    <w:rsid w:val="00F336A1"/>
    <w:rsid w:val="00F33A35"/>
    <w:rsid w:val="00F37526"/>
    <w:rsid w:val="00F436A1"/>
    <w:rsid w:val="00F436A7"/>
    <w:rsid w:val="00F65A12"/>
    <w:rsid w:val="00F661E4"/>
    <w:rsid w:val="00F715B6"/>
    <w:rsid w:val="00F75463"/>
    <w:rsid w:val="00F900C9"/>
    <w:rsid w:val="00F967B5"/>
    <w:rsid w:val="00FA097C"/>
    <w:rsid w:val="00FA584E"/>
    <w:rsid w:val="00FB1338"/>
    <w:rsid w:val="00FB633B"/>
    <w:rsid w:val="00FC393F"/>
    <w:rsid w:val="00FD74A8"/>
    <w:rsid w:val="00FE3D09"/>
    <w:rsid w:val="00FE51C9"/>
    <w:rsid w:val="00FE783B"/>
    <w:rsid w:val="00FF4D0A"/>
    <w:rsid w:val="00FF6E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AAD74-071D-43D0-A136-7AAECF88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70F"/>
    <w:rPr>
      <w:sz w:val="24"/>
      <w:szCs w:val="24"/>
    </w:rPr>
  </w:style>
  <w:style w:type="paragraph" w:styleId="Heading1">
    <w:name w:val="heading 1"/>
    <w:basedOn w:val="Normal"/>
    <w:next w:val="Normal"/>
    <w:qFormat/>
    <w:rsid w:val="00C3270F"/>
    <w:pPr>
      <w:keepNext/>
      <w:outlineLvl w:val="0"/>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3270F"/>
    <w:pPr>
      <w:ind w:firstLine="720"/>
      <w:jc w:val="both"/>
    </w:pPr>
    <w:rPr>
      <w:lang w:val="sr-Cyrl-CS"/>
    </w:rPr>
  </w:style>
  <w:style w:type="paragraph" w:styleId="BodyTextIndent2">
    <w:name w:val="Body Text Indent 2"/>
    <w:basedOn w:val="Normal"/>
    <w:rsid w:val="00C3270F"/>
    <w:pPr>
      <w:ind w:left="5760"/>
      <w:jc w:val="center"/>
    </w:pPr>
    <w:rPr>
      <w:lang w:val="sr-Cyrl-CS"/>
    </w:rPr>
  </w:style>
  <w:style w:type="paragraph" w:customStyle="1" w:styleId="rvps1">
    <w:name w:val="rvps1"/>
    <w:basedOn w:val="Normal"/>
    <w:rsid w:val="00BD34C2"/>
  </w:style>
  <w:style w:type="paragraph" w:customStyle="1" w:styleId="rvps6">
    <w:name w:val="rvps6"/>
    <w:basedOn w:val="Normal"/>
    <w:rsid w:val="00BD34C2"/>
    <w:pPr>
      <w:ind w:left="450" w:hanging="300"/>
    </w:pPr>
  </w:style>
  <w:style w:type="character" w:customStyle="1" w:styleId="rvts3">
    <w:name w:val="rvts3"/>
    <w:rsid w:val="00BD34C2"/>
    <w:rPr>
      <w:b w:val="0"/>
      <w:bCs w:val="0"/>
      <w:color w:val="000000"/>
      <w:sz w:val="20"/>
      <w:szCs w:val="20"/>
    </w:rPr>
  </w:style>
  <w:style w:type="character" w:customStyle="1" w:styleId="rvts12">
    <w:name w:val="rvts12"/>
    <w:rsid w:val="00BD34C2"/>
    <w:rPr>
      <w:color w:val="FF0000"/>
      <w:sz w:val="20"/>
      <w:szCs w:val="20"/>
    </w:rPr>
  </w:style>
  <w:style w:type="character" w:styleId="Hyperlink">
    <w:name w:val="Hyperlink"/>
    <w:uiPriority w:val="99"/>
    <w:unhideWhenUsed/>
    <w:rsid w:val="00D523B4"/>
    <w:rPr>
      <w:color w:val="0000FF"/>
      <w:u w:val="single"/>
    </w:rPr>
  </w:style>
  <w:style w:type="character" w:styleId="CommentReference">
    <w:name w:val="annotation reference"/>
    <w:uiPriority w:val="99"/>
    <w:semiHidden/>
    <w:unhideWhenUsed/>
    <w:rsid w:val="00D523B4"/>
    <w:rPr>
      <w:sz w:val="16"/>
      <w:szCs w:val="16"/>
    </w:rPr>
  </w:style>
  <w:style w:type="paragraph" w:styleId="CommentText">
    <w:name w:val="annotation text"/>
    <w:basedOn w:val="Normal"/>
    <w:link w:val="CommentTextChar"/>
    <w:uiPriority w:val="99"/>
    <w:semiHidden/>
    <w:unhideWhenUsed/>
    <w:rsid w:val="00D523B4"/>
    <w:rPr>
      <w:sz w:val="20"/>
      <w:szCs w:val="20"/>
    </w:rPr>
  </w:style>
  <w:style w:type="character" w:customStyle="1" w:styleId="CommentTextChar">
    <w:name w:val="Comment Text Char"/>
    <w:basedOn w:val="DefaultParagraphFont"/>
    <w:link w:val="CommentText"/>
    <w:uiPriority w:val="99"/>
    <w:semiHidden/>
    <w:rsid w:val="00D523B4"/>
  </w:style>
  <w:style w:type="paragraph" w:styleId="CommentSubject">
    <w:name w:val="annotation subject"/>
    <w:basedOn w:val="CommentText"/>
    <w:next w:val="CommentText"/>
    <w:link w:val="CommentSubjectChar"/>
    <w:uiPriority w:val="99"/>
    <w:semiHidden/>
    <w:unhideWhenUsed/>
    <w:rsid w:val="00D523B4"/>
    <w:rPr>
      <w:b/>
      <w:bCs/>
    </w:rPr>
  </w:style>
  <w:style w:type="character" w:customStyle="1" w:styleId="CommentSubjectChar">
    <w:name w:val="Comment Subject Char"/>
    <w:link w:val="CommentSubject"/>
    <w:uiPriority w:val="99"/>
    <w:semiHidden/>
    <w:rsid w:val="00D523B4"/>
    <w:rPr>
      <w:b/>
      <w:bCs/>
    </w:rPr>
  </w:style>
  <w:style w:type="paragraph" w:styleId="BalloonText">
    <w:name w:val="Balloon Text"/>
    <w:basedOn w:val="Normal"/>
    <w:link w:val="BalloonTextChar"/>
    <w:uiPriority w:val="99"/>
    <w:semiHidden/>
    <w:unhideWhenUsed/>
    <w:rsid w:val="00D523B4"/>
    <w:rPr>
      <w:rFonts w:ascii="Tahoma" w:hAnsi="Tahoma"/>
      <w:sz w:val="16"/>
      <w:szCs w:val="16"/>
    </w:rPr>
  </w:style>
  <w:style w:type="character" w:customStyle="1" w:styleId="BalloonTextChar">
    <w:name w:val="Balloon Text Char"/>
    <w:link w:val="BalloonText"/>
    <w:uiPriority w:val="99"/>
    <w:semiHidden/>
    <w:rsid w:val="00D523B4"/>
    <w:rPr>
      <w:rFonts w:ascii="Tahoma" w:hAnsi="Tahoma" w:cs="Tahoma"/>
      <w:sz w:val="16"/>
      <w:szCs w:val="16"/>
    </w:rPr>
  </w:style>
  <w:style w:type="paragraph" w:customStyle="1" w:styleId="Blockquote">
    <w:name w:val="Blockquote"/>
    <w:basedOn w:val="Normal"/>
    <w:rsid w:val="00997CCB"/>
    <w:pPr>
      <w:snapToGrid w:val="0"/>
      <w:spacing w:before="100" w:after="100"/>
      <w:ind w:left="360" w:right="360"/>
    </w:pPr>
    <w:rPr>
      <w:rFonts w:eastAsiaTheme="minorHAnsi"/>
    </w:rPr>
  </w:style>
  <w:style w:type="table" w:styleId="TableGrid">
    <w:name w:val="Table Grid"/>
    <w:basedOn w:val="TableNormal"/>
    <w:uiPriority w:val="59"/>
    <w:rsid w:val="00020F4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740B9B"/>
    <w:rPr>
      <w:i/>
    </w:rPr>
  </w:style>
  <w:style w:type="character" w:styleId="Strong">
    <w:name w:val="Strong"/>
    <w:qFormat/>
    <w:rsid w:val="00740B9B"/>
    <w:rPr>
      <w:b/>
    </w:rPr>
  </w:style>
  <w:style w:type="paragraph" w:customStyle="1" w:styleId="Default">
    <w:name w:val="Default"/>
    <w:basedOn w:val="Normal"/>
    <w:rsid w:val="002C38B8"/>
    <w:pPr>
      <w:autoSpaceDE w:val="0"/>
      <w:autoSpaceDN w:val="0"/>
    </w:pPr>
    <w:rPr>
      <w:rFonts w:eastAsiaTheme="minorHAnsi"/>
      <w:color w:val="000000"/>
    </w:rPr>
  </w:style>
  <w:style w:type="paragraph" w:styleId="PlainText">
    <w:name w:val="Plain Text"/>
    <w:basedOn w:val="Normal"/>
    <w:link w:val="PlainTextChar"/>
    <w:uiPriority w:val="99"/>
    <w:unhideWhenUsed/>
    <w:rsid w:val="00D35CE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5CEB"/>
    <w:rPr>
      <w:rFonts w:ascii="Calibri" w:eastAsiaTheme="minorHAnsi" w:hAnsi="Calibri" w:cs="Consolas"/>
      <w:sz w:val="22"/>
      <w:szCs w:val="21"/>
    </w:rPr>
  </w:style>
  <w:style w:type="paragraph" w:styleId="Header">
    <w:name w:val="header"/>
    <w:basedOn w:val="Normal"/>
    <w:link w:val="HeaderChar"/>
    <w:uiPriority w:val="99"/>
    <w:unhideWhenUsed/>
    <w:rsid w:val="00345E95"/>
    <w:pPr>
      <w:tabs>
        <w:tab w:val="center" w:pos="4680"/>
        <w:tab w:val="right" w:pos="9360"/>
      </w:tabs>
    </w:pPr>
  </w:style>
  <w:style w:type="character" w:customStyle="1" w:styleId="HeaderChar">
    <w:name w:val="Header Char"/>
    <w:basedOn w:val="DefaultParagraphFont"/>
    <w:link w:val="Header"/>
    <w:uiPriority w:val="99"/>
    <w:rsid w:val="00345E95"/>
    <w:rPr>
      <w:sz w:val="24"/>
      <w:szCs w:val="24"/>
    </w:rPr>
  </w:style>
  <w:style w:type="paragraph" w:styleId="Footer">
    <w:name w:val="footer"/>
    <w:basedOn w:val="Normal"/>
    <w:link w:val="FooterChar"/>
    <w:uiPriority w:val="99"/>
    <w:unhideWhenUsed/>
    <w:rsid w:val="00345E95"/>
    <w:pPr>
      <w:tabs>
        <w:tab w:val="center" w:pos="4680"/>
        <w:tab w:val="right" w:pos="9360"/>
      </w:tabs>
    </w:pPr>
  </w:style>
  <w:style w:type="character" w:customStyle="1" w:styleId="FooterChar">
    <w:name w:val="Footer Char"/>
    <w:basedOn w:val="DefaultParagraphFont"/>
    <w:link w:val="Footer"/>
    <w:uiPriority w:val="99"/>
    <w:rsid w:val="00345E95"/>
    <w:rPr>
      <w:sz w:val="24"/>
      <w:szCs w:val="24"/>
    </w:rPr>
  </w:style>
  <w:style w:type="paragraph" w:styleId="FootnoteText">
    <w:name w:val="footnote text"/>
    <w:basedOn w:val="Normal"/>
    <w:link w:val="FootnoteTextChar"/>
    <w:uiPriority w:val="99"/>
    <w:semiHidden/>
    <w:unhideWhenUsed/>
    <w:rsid w:val="006D2BD0"/>
    <w:rPr>
      <w:sz w:val="20"/>
      <w:szCs w:val="20"/>
    </w:rPr>
  </w:style>
  <w:style w:type="character" w:customStyle="1" w:styleId="FootnoteTextChar">
    <w:name w:val="Footnote Text Char"/>
    <w:basedOn w:val="DefaultParagraphFont"/>
    <w:link w:val="FootnoteText"/>
    <w:uiPriority w:val="99"/>
    <w:semiHidden/>
    <w:rsid w:val="006D2BD0"/>
  </w:style>
  <w:style w:type="character" w:styleId="FootnoteReference">
    <w:name w:val="footnote reference"/>
    <w:basedOn w:val="DefaultParagraphFont"/>
    <w:uiPriority w:val="99"/>
    <w:semiHidden/>
    <w:unhideWhenUsed/>
    <w:rsid w:val="006D2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89">
      <w:bodyDiv w:val="1"/>
      <w:marLeft w:val="0"/>
      <w:marRight w:val="0"/>
      <w:marTop w:val="0"/>
      <w:marBottom w:val="0"/>
      <w:divBdr>
        <w:top w:val="none" w:sz="0" w:space="0" w:color="auto"/>
        <w:left w:val="none" w:sz="0" w:space="0" w:color="auto"/>
        <w:bottom w:val="none" w:sz="0" w:space="0" w:color="auto"/>
        <w:right w:val="none" w:sz="0" w:space="0" w:color="auto"/>
      </w:divBdr>
    </w:div>
    <w:div w:id="153573250">
      <w:bodyDiv w:val="1"/>
      <w:marLeft w:val="0"/>
      <w:marRight w:val="0"/>
      <w:marTop w:val="0"/>
      <w:marBottom w:val="0"/>
      <w:divBdr>
        <w:top w:val="none" w:sz="0" w:space="0" w:color="auto"/>
        <w:left w:val="none" w:sz="0" w:space="0" w:color="auto"/>
        <w:bottom w:val="none" w:sz="0" w:space="0" w:color="auto"/>
        <w:right w:val="none" w:sz="0" w:space="0" w:color="auto"/>
      </w:divBdr>
    </w:div>
    <w:div w:id="5096843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633">
          <w:marLeft w:val="-7500"/>
          <w:marRight w:val="0"/>
          <w:marTop w:val="0"/>
          <w:marBottom w:val="0"/>
          <w:divBdr>
            <w:top w:val="single" w:sz="6" w:space="0" w:color="DDDDDD"/>
            <w:left w:val="single" w:sz="6" w:space="0" w:color="DDDDDD"/>
            <w:bottom w:val="single" w:sz="6" w:space="0" w:color="DDDDDD"/>
            <w:right w:val="single" w:sz="6" w:space="0" w:color="DDDDDD"/>
          </w:divBdr>
          <w:divsChild>
            <w:div w:id="663049931">
              <w:marLeft w:val="0"/>
              <w:marRight w:val="0"/>
              <w:marTop w:val="0"/>
              <w:marBottom w:val="0"/>
              <w:divBdr>
                <w:top w:val="none" w:sz="0" w:space="0" w:color="auto"/>
                <w:left w:val="none" w:sz="0" w:space="0" w:color="auto"/>
                <w:bottom w:val="none" w:sz="0" w:space="0" w:color="auto"/>
                <w:right w:val="none" w:sz="0" w:space="0" w:color="auto"/>
              </w:divBdr>
              <w:divsChild>
                <w:div w:id="1897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122">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sChild>
        <w:div w:id="1468623654">
          <w:marLeft w:val="-7500"/>
          <w:marRight w:val="0"/>
          <w:marTop w:val="0"/>
          <w:marBottom w:val="0"/>
          <w:divBdr>
            <w:top w:val="single" w:sz="6" w:space="0" w:color="DDDDDD"/>
            <w:left w:val="single" w:sz="6" w:space="0" w:color="DDDDDD"/>
            <w:bottom w:val="single" w:sz="6" w:space="0" w:color="DDDDDD"/>
            <w:right w:val="single" w:sz="6" w:space="0" w:color="DDDDDD"/>
          </w:divBdr>
          <w:divsChild>
            <w:div w:id="263657783">
              <w:marLeft w:val="0"/>
              <w:marRight w:val="0"/>
              <w:marTop w:val="0"/>
              <w:marBottom w:val="0"/>
              <w:divBdr>
                <w:top w:val="none" w:sz="0" w:space="0" w:color="auto"/>
                <w:left w:val="none" w:sz="0" w:space="0" w:color="auto"/>
                <w:bottom w:val="none" w:sz="0" w:space="0" w:color="auto"/>
                <w:right w:val="none" w:sz="0" w:space="0" w:color="auto"/>
              </w:divBdr>
              <w:divsChild>
                <w:div w:id="1685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3">
      <w:bodyDiv w:val="1"/>
      <w:marLeft w:val="0"/>
      <w:marRight w:val="0"/>
      <w:marTop w:val="0"/>
      <w:marBottom w:val="0"/>
      <w:divBdr>
        <w:top w:val="none" w:sz="0" w:space="0" w:color="auto"/>
        <w:left w:val="none" w:sz="0" w:space="0" w:color="auto"/>
        <w:bottom w:val="none" w:sz="0" w:space="0" w:color="auto"/>
        <w:right w:val="none" w:sz="0" w:space="0" w:color="auto"/>
      </w:divBdr>
    </w:div>
    <w:div w:id="1960258227">
      <w:bodyDiv w:val="1"/>
      <w:marLeft w:val="0"/>
      <w:marRight w:val="0"/>
      <w:marTop w:val="0"/>
      <w:marBottom w:val="0"/>
      <w:divBdr>
        <w:top w:val="none" w:sz="0" w:space="0" w:color="auto"/>
        <w:left w:val="none" w:sz="0" w:space="0" w:color="auto"/>
        <w:bottom w:val="none" w:sz="0" w:space="0" w:color="auto"/>
        <w:right w:val="none" w:sz="0" w:space="0" w:color="auto"/>
      </w:divBdr>
    </w:div>
    <w:div w:id="1989479704">
      <w:bodyDiv w:val="1"/>
      <w:marLeft w:val="0"/>
      <w:marRight w:val="0"/>
      <w:marTop w:val="0"/>
      <w:marBottom w:val="0"/>
      <w:divBdr>
        <w:top w:val="none" w:sz="0" w:space="0" w:color="auto"/>
        <w:left w:val="none" w:sz="0" w:space="0" w:color="auto"/>
        <w:bottom w:val="none" w:sz="0" w:space="0" w:color="auto"/>
        <w:right w:val="none" w:sz="0" w:space="0" w:color="auto"/>
      </w:divBdr>
      <w:divsChild>
        <w:div w:id="1725762484">
          <w:marLeft w:val="-7500"/>
          <w:marRight w:val="0"/>
          <w:marTop w:val="0"/>
          <w:marBottom w:val="0"/>
          <w:divBdr>
            <w:top w:val="single" w:sz="6" w:space="0" w:color="DDDDDD"/>
            <w:left w:val="single" w:sz="6" w:space="0" w:color="DDDDDD"/>
            <w:bottom w:val="single" w:sz="6" w:space="0" w:color="DDDDDD"/>
            <w:right w:val="single" w:sz="6" w:space="0" w:color="DDDDDD"/>
          </w:divBdr>
          <w:divsChild>
            <w:div w:id="1881938505">
              <w:marLeft w:val="0"/>
              <w:marRight w:val="0"/>
              <w:marTop w:val="0"/>
              <w:marBottom w:val="0"/>
              <w:divBdr>
                <w:top w:val="none" w:sz="0" w:space="0" w:color="auto"/>
                <w:left w:val="none" w:sz="0" w:space="0" w:color="auto"/>
                <w:bottom w:val="none" w:sz="0" w:space="0" w:color="auto"/>
                <w:right w:val="none" w:sz="0" w:space="0" w:color="auto"/>
              </w:divBdr>
              <w:divsChild>
                <w:div w:id="647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85FE-AC0C-4CA1-B7DD-309171E0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Danijel Nikolic</dc:creator>
  <cp:lastModifiedBy>Tijana Tasic</cp:lastModifiedBy>
  <cp:revision>2</cp:revision>
  <cp:lastPrinted>2012-08-02T11:29:00Z</cp:lastPrinted>
  <dcterms:created xsi:type="dcterms:W3CDTF">2015-04-14T07:00:00Z</dcterms:created>
  <dcterms:modified xsi:type="dcterms:W3CDTF">2015-04-14T07:00:00Z</dcterms:modified>
</cp:coreProperties>
</file>